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1A9" w:rsidRDefault="00CA132C" w:rsidP="00CA132C">
      <w:pPr>
        <w:jc w:val="center"/>
        <w:rPr>
          <w:rFonts w:ascii="黑体" w:eastAsia="黑体"/>
          <w:b/>
          <w:sz w:val="32"/>
          <w:szCs w:val="32"/>
        </w:rPr>
      </w:pPr>
      <w:r>
        <w:rPr>
          <w:rFonts w:ascii="黑体" w:eastAsia="黑体" w:hint="eastAsia"/>
          <w:b/>
          <w:sz w:val="32"/>
          <w:szCs w:val="32"/>
        </w:rPr>
        <w:t>中国中</w:t>
      </w:r>
      <w:proofErr w:type="gramStart"/>
      <w:r>
        <w:rPr>
          <w:rFonts w:ascii="黑体" w:eastAsia="黑体" w:hint="eastAsia"/>
          <w:b/>
          <w:sz w:val="32"/>
          <w:szCs w:val="32"/>
        </w:rPr>
        <w:t>材国际</w:t>
      </w:r>
      <w:proofErr w:type="gramEnd"/>
      <w:r>
        <w:rPr>
          <w:rFonts w:ascii="黑体" w:eastAsia="黑体" w:hint="eastAsia"/>
          <w:b/>
          <w:sz w:val="32"/>
          <w:szCs w:val="32"/>
        </w:rPr>
        <w:t>工程股份有限公司</w:t>
      </w:r>
    </w:p>
    <w:p w:rsidR="001667B6" w:rsidRDefault="00CA132C" w:rsidP="00CA132C">
      <w:pPr>
        <w:jc w:val="center"/>
        <w:rPr>
          <w:rFonts w:ascii="黑体" w:eastAsia="黑体"/>
          <w:b/>
          <w:sz w:val="32"/>
          <w:szCs w:val="32"/>
        </w:rPr>
      </w:pPr>
      <w:r>
        <w:rPr>
          <w:rFonts w:ascii="黑体" w:eastAsia="黑体" w:hint="eastAsia"/>
          <w:b/>
          <w:sz w:val="32"/>
          <w:szCs w:val="32"/>
        </w:rPr>
        <w:t>2013年半年度报告摘要</w:t>
      </w:r>
    </w:p>
    <w:p w:rsidR="00D56DF8" w:rsidRDefault="00D56DF8" w:rsidP="002D61A9">
      <w:pPr>
        <w:jc w:val="center"/>
        <w:rPr>
          <w:rFonts w:ascii="黑体" w:eastAsia="黑体"/>
          <w:b/>
          <w:sz w:val="32"/>
          <w:szCs w:val="32"/>
        </w:rPr>
      </w:pPr>
    </w:p>
    <w:p w:rsidR="00D56DF8" w:rsidRPr="00D56DF8" w:rsidRDefault="00D56DF8" w:rsidP="00D56DF8">
      <w:pPr>
        <w:rPr>
          <w:rFonts w:ascii="宋体" w:hAnsi="宋体"/>
          <w:szCs w:val="21"/>
        </w:rPr>
      </w:pPr>
    </w:p>
    <w:p w:rsidR="00CA132C" w:rsidRDefault="00CA132C">
      <w:pPr>
        <w:outlineLvl w:val="1"/>
        <w:divId w:val="819083261"/>
        <w:rPr>
          <w:b/>
          <w:bCs/>
          <w:kern w:val="36"/>
        </w:rPr>
      </w:pPr>
      <w:r>
        <w:rPr>
          <w:rFonts w:cs="宋体" w:hint="eastAsia"/>
          <w:b/>
          <w:bCs/>
          <w:kern w:val="36"/>
        </w:rPr>
        <w:t>一、</w:t>
      </w:r>
      <w:r>
        <w:rPr>
          <w:rFonts w:cs="宋体" w:hint="eastAsia"/>
          <w:b/>
          <w:bCs/>
          <w:kern w:val="36"/>
        </w:rPr>
        <w:t xml:space="preserve"> </w:t>
      </w:r>
      <w:r>
        <w:rPr>
          <w:rFonts w:hint="eastAsia"/>
          <w:b/>
          <w:bCs/>
          <w:kern w:val="36"/>
        </w:rPr>
        <w:t xml:space="preserve"> </w:t>
      </w:r>
      <w:r>
        <w:rPr>
          <w:rFonts w:hint="eastAsia"/>
          <w:b/>
          <w:bCs/>
          <w:kern w:val="36"/>
        </w:rPr>
        <w:t>重要提示</w:t>
      </w:r>
    </w:p>
    <w:p w:rsidR="00CA132C" w:rsidRDefault="00CA132C">
      <w:pPr>
        <w:outlineLvl w:val="2"/>
        <w:divId w:val="819083261"/>
        <w:rPr>
          <w:b/>
          <w:bCs/>
          <w:kern w:val="0"/>
        </w:rPr>
      </w:pPr>
      <w:r>
        <w:rPr>
          <w:rFonts w:cs="宋体" w:hint="eastAsia"/>
          <w:b/>
          <w:bCs/>
        </w:rPr>
        <w:t xml:space="preserve">1.1 </w:t>
      </w:r>
      <w:r>
        <w:rPr>
          <w:rFonts w:hint="eastAsia"/>
          <w:b/>
          <w:bCs/>
        </w:rPr>
        <w:t xml:space="preserve"> </w:t>
      </w:r>
      <w:proofErr w:type="gramStart"/>
      <w:r>
        <w:rPr>
          <w:rFonts w:hint="eastAsia"/>
          <w:b/>
          <w:bCs/>
        </w:rPr>
        <w:t>本半年度</w:t>
      </w:r>
      <w:proofErr w:type="gramEnd"/>
      <w:r>
        <w:rPr>
          <w:rFonts w:hint="eastAsia"/>
          <w:b/>
          <w:bCs/>
        </w:rPr>
        <w:t>报告摘要来自半年度报告全文，投资者欲了解详细内容，应当仔细阅读同时刊载于上海证券交易所网站等中国证监会指定网站上的半年度报告全文。</w:t>
      </w:r>
    </w:p>
    <w:p w:rsidR="00CA132C" w:rsidRDefault="00CA132C">
      <w:pPr>
        <w:widowControl/>
        <w:divId w:val="819083261"/>
        <w:rPr>
          <w:rFonts w:hAnsi="宋体" w:cs="宋体"/>
          <w:szCs w:val="21"/>
        </w:rPr>
      </w:pPr>
    </w:p>
    <w:p w:rsidR="00CA132C" w:rsidRDefault="00CA132C">
      <w:pPr>
        <w:outlineLvl w:val="2"/>
        <w:divId w:val="819083261"/>
        <w:rPr>
          <w:b/>
          <w:bCs/>
          <w:szCs w:val="18"/>
        </w:rPr>
      </w:pPr>
      <w:r>
        <w:rPr>
          <w:rFonts w:cs="宋体" w:hint="eastAsia"/>
          <w:b/>
          <w:bCs/>
        </w:rPr>
        <w:t xml:space="preserve">1.2 </w:t>
      </w:r>
      <w:r>
        <w:rPr>
          <w:rFonts w:hint="eastAsia"/>
          <w:b/>
          <w:bCs/>
        </w:rPr>
        <w:t xml:space="preserve"> </w:t>
      </w:r>
      <w:r>
        <w:rPr>
          <w:rFonts w:hint="eastAsia"/>
          <w:b/>
          <w:bCs/>
        </w:rPr>
        <w:t>公司简介</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102"/>
        <w:gridCol w:w="2066"/>
        <w:gridCol w:w="2066"/>
        <w:gridCol w:w="2066"/>
      </w:tblGrid>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股票简称</w:t>
            </w:r>
          </w:p>
        </w:tc>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中</w:t>
            </w:r>
            <w:proofErr w:type="gramStart"/>
            <w:r>
              <w:rPr>
                <w:rFonts w:hAnsi="宋体" w:cs="宋体" w:hint="eastAsia"/>
                <w:szCs w:val="21"/>
              </w:rPr>
              <w:t>材国际</w:t>
            </w:r>
            <w:proofErr w:type="gramEnd"/>
          </w:p>
        </w:tc>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股票代码</w:t>
            </w:r>
          </w:p>
        </w:tc>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600970</w:t>
            </w:r>
          </w:p>
        </w:tc>
      </w:tr>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股票上市交易所</w:t>
            </w:r>
          </w:p>
        </w:tc>
        <w:tc>
          <w:tcPr>
            <w:tcW w:w="3300" w:type="pct"/>
            <w:gridSpan w:val="3"/>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上交所</w:t>
            </w:r>
          </w:p>
        </w:tc>
      </w:tr>
    </w:tbl>
    <w:p w:rsidR="00CA132C" w:rsidRDefault="00CA132C">
      <w:pPr>
        <w:widowControl/>
        <w:divId w:val="819083261"/>
        <w:rPr>
          <w:rFonts w:hAnsi="宋体" w:cs="宋体"/>
          <w:vanish/>
          <w:szCs w:val="21"/>
        </w:rPr>
      </w:pP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3100"/>
        <w:gridCol w:w="3100"/>
        <w:gridCol w:w="3100"/>
      </w:tblGrid>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联系人和联系方式</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董事会秘书</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证券事务代表</w:t>
            </w:r>
          </w:p>
        </w:tc>
      </w:tr>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姓名</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蒋中文</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吕英花</w:t>
            </w:r>
          </w:p>
        </w:tc>
      </w:tr>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电话</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010-64399502</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010-64399501</w:t>
            </w:r>
          </w:p>
        </w:tc>
      </w:tr>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传真</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010-64399500</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010-64399500</w:t>
            </w:r>
          </w:p>
        </w:tc>
      </w:tr>
      <w:tr w:rsidR="00CA132C">
        <w:trPr>
          <w:divId w:val="819083261"/>
        </w:trPr>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电子信箱</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600970@sinoma.com.cn</w:t>
            </w:r>
          </w:p>
        </w:tc>
        <w:tc>
          <w:tcPr>
            <w:tcW w:w="16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600970@sinoma.com.cn</w:t>
            </w:r>
          </w:p>
        </w:tc>
      </w:tr>
    </w:tbl>
    <w:p w:rsidR="00CA132C" w:rsidRDefault="00CA132C">
      <w:pPr>
        <w:widowControl/>
        <w:divId w:val="819083261"/>
        <w:rPr>
          <w:rFonts w:hAnsi="宋体" w:cs="宋体"/>
          <w:szCs w:val="21"/>
        </w:rPr>
      </w:pPr>
    </w:p>
    <w:p w:rsidR="00CA132C" w:rsidRDefault="00CA132C">
      <w:pPr>
        <w:outlineLvl w:val="1"/>
        <w:divId w:val="819083261"/>
        <w:rPr>
          <w:b/>
          <w:bCs/>
          <w:kern w:val="36"/>
          <w:szCs w:val="18"/>
        </w:rPr>
      </w:pPr>
      <w:r>
        <w:rPr>
          <w:rFonts w:cs="宋体" w:hint="eastAsia"/>
          <w:b/>
          <w:bCs/>
          <w:kern w:val="36"/>
        </w:rPr>
        <w:t>二、</w:t>
      </w:r>
      <w:r>
        <w:rPr>
          <w:rFonts w:cs="宋体" w:hint="eastAsia"/>
          <w:b/>
          <w:bCs/>
          <w:kern w:val="36"/>
        </w:rPr>
        <w:t xml:space="preserve"> </w:t>
      </w:r>
      <w:r>
        <w:rPr>
          <w:rFonts w:hint="eastAsia"/>
          <w:b/>
          <w:bCs/>
          <w:kern w:val="36"/>
        </w:rPr>
        <w:t xml:space="preserve"> </w:t>
      </w:r>
      <w:r>
        <w:rPr>
          <w:rFonts w:hint="eastAsia"/>
          <w:b/>
          <w:bCs/>
          <w:kern w:val="36"/>
        </w:rPr>
        <w:t>主要财务数据和股东变化</w:t>
      </w:r>
    </w:p>
    <w:p w:rsidR="00CA132C" w:rsidRDefault="00CA132C">
      <w:pPr>
        <w:outlineLvl w:val="2"/>
        <w:divId w:val="819083261"/>
        <w:rPr>
          <w:b/>
          <w:bCs/>
          <w:kern w:val="0"/>
        </w:rPr>
      </w:pPr>
      <w:r>
        <w:rPr>
          <w:rFonts w:cs="宋体" w:hint="eastAsia"/>
          <w:b/>
          <w:bCs/>
        </w:rPr>
        <w:t xml:space="preserve">2.1 </w:t>
      </w:r>
      <w:r>
        <w:rPr>
          <w:rFonts w:hint="eastAsia"/>
          <w:b/>
          <w:bCs/>
        </w:rPr>
        <w:t xml:space="preserve"> </w:t>
      </w:r>
      <w:r>
        <w:rPr>
          <w:rFonts w:hint="eastAsia"/>
          <w:b/>
          <w:bCs/>
        </w:rPr>
        <w:t>主要财务数据</w:t>
      </w:r>
    </w:p>
    <w:p w:rsidR="00CA132C" w:rsidRDefault="00CA132C">
      <w:pPr>
        <w:jc w:val="right"/>
        <w:divId w:val="819083261"/>
      </w:pPr>
      <w:r>
        <w:rPr>
          <w:rFonts w:hint="eastAsia"/>
        </w:rPr>
        <w:t>单位：元</w:t>
      </w:r>
      <w:r>
        <w:rPr>
          <w:rFonts w:hint="eastAsia"/>
        </w:rPr>
        <w:t xml:space="preserve"> </w:t>
      </w:r>
      <w:r>
        <w:rPr>
          <w:rFonts w:hint="eastAsia"/>
        </w:rPr>
        <w:t>币种：人民币</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327"/>
        <w:gridCol w:w="1791"/>
        <w:gridCol w:w="1791"/>
        <w:gridCol w:w="1791"/>
        <w:gridCol w:w="1600"/>
      </w:tblGrid>
      <w:tr w:rsidR="00CA132C">
        <w:trPr>
          <w:divId w:val="819083261"/>
        </w:trPr>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本报告期末</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上年度末</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本报告期末比上年度末增减</w:t>
            </w:r>
            <w:r>
              <w:rPr>
                <w:rFonts w:hAnsi="宋体" w:cs="宋体" w:hint="eastAsia"/>
                <w:szCs w:val="21"/>
              </w:rPr>
              <w:t>(%)</w:t>
            </w:r>
          </w:p>
        </w:tc>
      </w:tr>
      <w:tr w:rsidR="00CA132C">
        <w:trPr>
          <w:divId w:val="819083261"/>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调整后</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调整前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总资产</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23,607,135,036.22</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21,448,928,130.36</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21,320,746,827.91</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10.06</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归属于上市公司股东的净资产</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4,606,805,630.21</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4,665,537,283.89</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4,553,178,736.18</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-1.26</w:t>
            </w:r>
          </w:p>
        </w:tc>
      </w:tr>
      <w:tr w:rsidR="00CA132C">
        <w:trPr>
          <w:divId w:val="819083261"/>
        </w:trPr>
        <w:tc>
          <w:tcPr>
            <w:tcW w:w="11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本报告期</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上年同期</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本报告期比上年同期增减</w:t>
            </w:r>
            <w:r>
              <w:rPr>
                <w:rFonts w:hAnsi="宋体" w:cs="宋体" w:hint="eastAsia"/>
                <w:szCs w:val="21"/>
              </w:rPr>
              <w:t>(%)</w:t>
            </w:r>
          </w:p>
        </w:tc>
      </w:tr>
      <w:tr w:rsidR="00CA132C">
        <w:trPr>
          <w:divId w:val="819083261"/>
        </w:trPr>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调整后</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调整前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经营活动产生的现金流量净额</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1,016,747,483.95</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439,228,168.78</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439,910,099.06</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131.49</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营业收入</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8,527,887,186.36</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9,140,762,999.07</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11,635,235,397.05</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-6.70</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归属于上市公司股东的净利润</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420,137,485.14</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465,585,033.29</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475,451,528.95</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-9.76</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归属于上市公司股东的扣除非经常性损益的净利润</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390,069,589.96</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450,175,787.34</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464,023,243.09</w:t>
            </w:r>
          </w:p>
        </w:tc>
        <w:tc>
          <w:tcPr>
            <w:tcW w:w="8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-13.35</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加权平均净资产收益率（</w:t>
            </w:r>
            <w:r>
              <w:rPr>
                <w:rFonts w:hAnsi="宋体" w:cs="宋体" w:hint="eastAsia"/>
                <w:szCs w:val="21"/>
              </w:rPr>
              <w:t>%</w:t>
            </w:r>
            <w:r>
              <w:rPr>
                <w:rFonts w:hAnsi="宋体" w:cs="宋体" w:hint="eastAsia"/>
                <w:szCs w:val="21"/>
              </w:rPr>
              <w:t>）</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8.69</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9.54</w:t>
            </w:r>
          </w:p>
        </w:tc>
        <w:tc>
          <w:tcPr>
            <w:tcW w:w="7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9.74</w:t>
            </w:r>
          </w:p>
        </w:tc>
        <w:tc>
          <w:tcPr>
            <w:tcW w:w="8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减少</w:t>
            </w:r>
            <w:r>
              <w:rPr>
                <w:rFonts w:hAnsi="宋体" w:cs="宋体" w:hint="eastAsia"/>
                <w:szCs w:val="21"/>
              </w:rPr>
              <w:t>0.85</w:t>
            </w:r>
            <w:r>
              <w:rPr>
                <w:rFonts w:hAnsi="宋体" w:cs="宋体" w:hint="eastAsia"/>
                <w:szCs w:val="21"/>
              </w:rPr>
              <w:t>个百分点</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基本每股收益（元／股）</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0.38</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0.43</w:t>
            </w:r>
          </w:p>
        </w:tc>
        <w:tc>
          <w:tcPr>
            <w:tcW w:w="7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0.43</w:t>
            </w:r>
          </w:p>
        </w:tc>
        <w:tc>
          <w:tcPr>
            <w:tcW w:w="8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-11.63</w:t>
            </w:r>
          </w:p>
        </w:tc>
      </w:tr>
      <w:tr w:rsidR="00CA132C">
        <w:trPr>
          <w:divId w:val="819083261"/>
        </w:trPr>
        <w:tc>
          <w:tcPr>
            <w:tcW w:w="11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稀释每股收益（元／股）</w:t>
            </w:r>
          </w:p>
        </w:tc>
        <w:tc>
          <w:tcPr>
            <w:tcW w:w="6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0.38</w:t>
            </w:r>
          </w:p>
        </w:tc>
        <w:tc>
          <w:tcPr>
            <w:tcW w:w="70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0.43</w:t>
            </w:r>
          </w:p>
        </w:tc>
        <w:tc>
          <w:tcPr>
            <w:tcW w:w="7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0.43</w:t>
            </w:r>
          </w:p>
        </w:tc>
        <w:tc>
          <w:tcPr>
            <w:tcW w:w="85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-11.63</w:t>
            </w:r>
          </w:p>
        </w:tc>
      </w:tr>
    </w:tbl>
    <w:p w:rsidR="00CA132C" w:rsidRDefault="00CA132C">
      <w:pPr>
        <w:widowControl/>
        <w:divId w:val="819083261"/>
        <w:rPr>
          <w:rFonts w:hAnsi="宋体" w:cs="宋体"/>
          <w:szCs w:val="21"/>
        </w:rPr>
      </w:pPr>
    </w:p>
    <w:p w:rsidR="00CA132C" w:rsidRDefault="00CA132C">
      <w:pPr>
        <w:outlineLvl w:val="2"/>
        <w:divId w:val="819083261"/>
        <w:rPr>
          <w:b/>
          <w:bCs/>
          <w:szCs w:val="18"/>
        </w:rPr>
      </w:pPr>
      <w:r>
        <w:rPr>
          <w:rFonts w:cs="宋体" w:hint="eastAsia"/>
          <w:b/>
          <w:bCs/>
        </w:rPr>
        <w:t xml:space="preserve">2.2 </w:t>
      </w:r>
      <w:r>
        <w:rPr>
          <w:rFonts w:hint="eastAsia"/>
          <w:b/>
          <w:bCs/>
        </w:rPr>
        <w:t xml:space="preserve"> </w:t>
      </w:r>
      <w:r>
        <w:rPr>
          <w:rFonts w:hint="eastAsia"/>
          <w:b/>
          <w:bCs/>
        </w:rPr>
        <w:t>前</w:t>
      </w:r>
      <w:r>
        <w:rPr>
          <w:rFonts w:hint="eastAsia"/>
          <w:b/>
          <w:bCs/>
        </w:rPr>
        <w:t>10</w:t>
      </w:r>
      <w:r>
        <w:rPr>
          <w:rFonts w:hint="eastAsia"/>
          <w:b/>
          <w:bCs/>
        </w:rPr>
        <w:t>名股东持股情况表</w:t>
      </w:r>
    </w:p>
    <w:p w:rsidR="00CA132C" w:rsidRDefault="00CA132C">
      <w:pPr>
        <w:jc w:val="right"/>
        <w:divId w:val="819083261"/>
      </w:pPr>
      <w:r>
        <w:rPr>
          <w:rFonts w:hint="eastAsia"/>
        </w:rPr>
        <w:t>单位：股</w:t>
      </w:r>
    </w:p>
    <w:tbl>
      <w:tblPr>
        <w:tblW w:w="9300" w:type="dxa"/>
        <w:tblInd w:w="100" w:type="dxa"/>
        <w:tblBorders>
          <w:top w:val="single" w:sz="4" w:space="0" w:color="auto"/>
          <w:left w:val="single" w:sz="4" w:space="0" w:color="auto"/>
          <w:bottom w:val="single" w:sz="4" w:space="0" w:color="auto"/>
          <w:right w:val="single" w:sz="4" w:space="0" w:color="auto"/>
        </w:tblBorders>
        <w:tblLook w:val="04A0"/>
      </w:tblPr>
      <w:tblGrid>
        <w:gridCol w:w="2560"/>
        <w:gridCol w:w="485"/>
        <w:gridCol w:w="649"/>
        <w:gridCol w:w="993"/>
        <w:gridCol w:w="526"/>
        <w:gridCol w:w="891"/>
        <w:gridCol w:w="1559"/>
        <w:gridCol w:w="1637"/>
      </w:tblGrid>
      <w:tr w:rsidR="00CA132C" w:rsidTr="00804339">
        <w:trPr>
          <w:divId w:val="819083261"/>
        </w:trPr>
        <w:tc>
          <w:tcPr>
            <w:tcW w:w="2803" w:type="pct"/>
            <w:gridSpan w:val="5"/>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报告期末股东总数</w:t>
            </w:r>
          </w:p>
        </w:tc>
        <w:tc>
          <w:tcPr>
            <w:tcW w:w="2197" w:type="pct"/>
            <w:gridSpan w:val="3"/>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54,247</w:t>
            </w:r>
          </w:p>
        </w:tc>
      </w:tr>
      <w:tr w:rsidR="00CA132C">
        <w:trPr>
          <w:divId w:val="819083261"/>
        </w:trPr>
        <w:tc>
          <w:tcPr>
            <w:tcW w:w="5000" w:type="pct"/>
            <w:gridSpan w:val="8"/>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前</w:t>
            </w:r>
            <w:r>
              <w:rPr>
                <w:rFonts w:hAnsi="宋体" w:cs="宋体" w:hint="eastAsia"/>
                <w:szCs w:val="21"/>
              </w:rPr>
              <w:t>10</w:t>
            </w:r>
            <w:r>
              <w:rPr>
                <w:rFonts w:hAnsi="宋体" w:cs="宋体" w:hint="eastAsia"/>
                <w:szCs w:val="21"/>
              </w:rPr>
              <w:t>名股东持股情况</w:t>
            </w: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股东名称</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股东性质</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持股比例</w:t>
            </w:r>
            <w:r>
              <w:rPr>
                <w:rFonts w:hAnsi="宋体" w:cs="宋体" w:hint="eastAsia"/>
                <w:szCs w:val="21"/>
              </w:rPr>
              <w:t>(%)</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持股数量</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持有有限</w:t>
            </w:r>
            <w:proofErr w:type="gramStart"/>
            <w:r>
              <w:rPr>
                <w:rFonts w:hAnsi="宋体" w:cs="宋体" w:hint="eastAsia"/>
                <w:szCs w:val="21"/>
              </w:rPr>
              <w:t>售条件</w:t>
            </w:r>
            <w:proofErr w:type="gramEnd"/>
            <w:r>
              <w:rPr>
                <w:rFonts w:hAnsi="宋体" w:cs="宋体" w:hint="eastAsia"/>
                <w:szCs w:val="21"/>
              </w:rPr>
              <w:t>的股份数量</w:t>
            </w:r>
          </w:p>
        </w:tc>
        <w:tc>
          <w:tcPr>
            <w:tcW w:w="880"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center"/>
              <w:rPr>
                <w:rFonts w:ascii="宋体" w:hAnsi="宋体" w:cs="宋体"/>
                <w:szCs w:val="21"/>
              </w:rPr>
            </w:pPr>
            <w:r>
              <w:rPr>
                <w:rFonts w:hAnsi="宋体" w:cs="宋体" w:hint="eastAsia"/>
                <w:szCs w:val="21"/>
              </w:rPr>
              <w:t>质押或冻结的股份数量</w:t>
            </w: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中国中材股份有限公司</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国有法人</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42.46</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464,263,219</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无</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石河子中天股权投资企业（有限合伙）</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境内非国有法人</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18.42</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201,385,260</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无</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新华人寿保险股份有限公司－分红－团体分红－</w:t>
            </w:r>
            <w:r>
              <w:rPr>
                <w:rFonts w:hAnsi="宋体" w:cs="宋体" w:hint="eastAsia"/>
                <w:szCs w:val="21"/>
              </w:rPr>
              <w:t>018L</w:t>
            </w:r>
            <w:r>
              <w:rPr>
                <w:rFonts w:hAnsi="宋体" w:cs="宋体" w:hint="eastAsia"/>
                <w:szCs w:val="21"/>
              </w:rPr>
              <w:t>－</w:t>
            </w:r>
            <w:r>
              <w:rPr>
                <w:rFonts w:hAnsi="宋体" w:cs="宋体" w:hint="eastAsia"/>
                <w:szCs w:val="21"/>
              </w:rPr>
              <w:t>FH001</w:t>
            </w:r>
            <w:r>
              <w:rPr>
                <w:rFonts w:hAnsi="宋体" w:cs="宋体" w:hint="eastAsia"/>
                <w:szCs w:val="21"/>
              </w:rPr>
              <w:t>沪</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3.26</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35,642,957</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中国人寿保险股份有限公司－分红－个人分红－</w:t>
            </w:r>
            <w:r>
              <w:rPr>
                <w:rFonts w:hAnsi="宋体" w:cs="宋体" w:hint="eastAsia"/>
                <w:szCs w:val="21"/>
              </w:rPr>
              <w:t>005L</w:t>
            </w:r>
            <w:r>
              <w:rPr>
                <w:rFonts w:hAnsi="宋体" w:cs="宋体" w:hint="eastAsia"/>
                <w:szCs w:val="21"/>
              </w:rPr>
              <w:t>－</w:t>
            </w:r>
            <w:r>
              <w:rPr>
                <w:rFonts w:hAnsi="宋体" w:cs="宋体" w:hint="eastAsia"/>
                <w:szCs w:val="21"/>
              </w:rPr>
              <w:t>FH002</w:t>
            </w:r>
            <w:r>
              <w:rPr>
                <w:rFonts w:hAnsi="宋体" w:cs="宋体" w:hint="eastAsia"/>
                <w:szCs w:val="21"/>
              </w:rPr>
              <w:t>沪</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0.71</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7,813,019</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海通－中行－</w:t>
            </w:r>
            <w:r>
              <w:rPr>
                <w:rFonts w:hAnsi="宋体" w:cs="宋体" w:hint="eastAsia"/>
                <w:szCs w:val="21"/>
              </w:rPr>
              <w:t>FORTIS BANK SA/NV</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0.52</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5,679,405</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中国人寿保险</w:t>
            </w:r>
            <w:r>
              <w:rPr>
                <w:rFonts w:hAnsi="宋体" w:cs="宋体" w:hint="eastAsia"/>
                <w:szCs w:val="21"/>
              </w:rPr>
              <w:t>(</w:t>
            </w:r>
            <w:r>
              <w:rPr>
                <w:rFonts w:hAnsi="宋体" w:cs="宋体" w:hint="eastAsia"/>
                <w:szCs w:val="21"/>
              </w:rPr>
              <w:t>集团</w:t>
            </w:r>
            <w:r>
              <w:rPr>
                <w:rFonts w:hAnsi="宋体" w:cs="宋体" w:hint="eastAsia"/>
                <w:szCs w:val="21"/>
              </w:rPr>
              <w:t>)</w:t>
            </w:r>
            <w:r>
              <w:rPr>
                <w:rFonts w:hAnsi="宋体" w:cs="宋体" w:hint="eastAsia"/>
                <w:szCs w:val="21"/>
              </w:rPr>
              <w:t>公司－传统－普通保险产品</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0.38</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4,126,214</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中国银行股份有限公司－</w:t>
            </w:r>
            <w:proofErr w:type="gramStart"/>
            <w:r>
              <w:rPr>
                <w:rFonts w:hAnsi="宋体" w:cs="宋体" w:hint="eastAsia"/>
                <w:szCs w:val="21"/>
              </w:rPr>
              <w:t>嘉实沪深</w:t>
            </w:r>
            <w:proofErr w:type="gramEnd"/>
            <w:r>
              <w:rPr>
                <w:rFonts w:hAnsi="宋体" w:cs="宋体" w:hint="eastAsia"/>
                <w:szCs w:val="21"/>
              </w:rPr>
              <w:t>300</w:t>
            </w:r>
            <w:r>
              <w:rPr>
                <w:rFonts w:hAnsi="宋体" w:cs="宋体" w:hint="eastAsia"/>
                <w:szCs w:val="21"/>
              </w:rPr>
              <w:t>交易型开放式指数证券投资基金</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0.24</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2,654,890</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江苏汇鸿国际集团土产进出口股份有限公司</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0.24</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2,600,000</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中国农业银行－富国天瑞强势地区精选混合型开放式证券投资基金</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未知</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0.21</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2,281,664</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376"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张支全</w:t>
            </w:r>
          </w:p>
        </w:tc>
        <w:tc>
          <w:tcPr>
            <w:tcW w:w="610"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境内自然人</w:t>
            </w:r>
          </w:p>
        </w:tc>
        <w:tc>
          <w:tcPr>
            <w:tcW w:w="534"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0.19</w:t>
            </w:r>
          </w:p>
        </w:tc>
        <w:tc>
          <w:tcPr>
            <w:tcW w:w="762"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2,074,077</w:t>
            </w:r>
          </w:p>
        </w:tc>
        <w:tc>
          <w:tcPr>
            <w:tcW w:w="838" w:type="pct"/>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jc w:val="right"/>
              <w:rPr>
                <w:rFonts w:ascii="宋体" w:hAnsi="宋体" w:cs="宋体"/>
                <w:szCs w:val="21"/>
              </w:rPr>
            </w:pPr>
            <w:r>
              <w:rPr>
                <w:rFonts w:hAnsi="宋体" w:cs="宋体" w:hint="eastAsia"/>
                <w:szCs w:val="21"/>
              </w:rPr>
              <w:t>0</w:t>
            </w:r>
          </w:p>
        </w:tc>
        <w:tc>
          <w:tcPr>
            <w:tcW w:w="88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tbl>
            <w:tblPr>
              <w:tblW w:w="5000" w:type="pct"/>
              <w:tblLook w:val="04A0"/>
            </w:tblPr>
            <w:tblGrid>
              <w:gridCol w:w="811"/>
              <w:gridCol w:w="811"/>
            </w:tblGrid>
            <w:tr w:rsidR="00CA132C">
              <w:tc>
                <w:tcPr>
                  <w:tcW w:w="2500" w:type="pct"/>
                  <w:vAlign w:val="center"/>
                  <w:hideMark/>
                </w:tcPr>
                <w:p w:rsidR="00CA132C" w:rsidRDefault="00CA132C">
                  <w:pPr>
                    <w:widowControl/>
                    <w:rPr>
                      <w:rFonts w:ascii="宋体" w:hAnsi="宋体" w:cs="宋体"/>
                      <w:szCs w:val="21"/>
                    </w:rPr>
                  </w:pPr>
                  <w:r>
                    <w:rPr>
                      <w:rFonts w:hAnsi="宋体" w:cs="宋体" w:hint="eastAsia"/>
                      <w:szCs w:val="21"/>
                    </w:rPr>
                    <w:t>未知</w:t>
                  </w:r>
                </w:p>
              </w:tc>
              <w:tc>
                <w:tcPr>
                  <w:tcW w:w="2500" w:type="pct"/>
                  <w:vAlign w:val="center"/>
                  <w:hideMark/>
                </w:tcPr>
                <w:p w:rsidR="00CA132C" w:rsidRDefault="00CA132C">
                  <w:pPr>
                    <w:widowControl/>
                    <w:jc w:val="right"/>
                    <w:rPr>
                      <w:rFonts w:ascii="宋体" w:hAnsi="宋体" w:cs="宋体"/>
                      <w:szCs w:val="21"/>
                    </w:rPr>
                  </w:pPr>
                </w:p>
              </w:tc>
            </w:tr>
          </w:tbl>
          <w:p w:rsidR="00CA132C" w:rsidRDefault="00CA132C">
            <w:pPr>
              <w:widowControl/>
              <w:rPr>
                <w:rFonts w:ascii="宋体" w:hAnsi="宋体" w:cs="宋体"/>
                <w:szCs w:val="21"/>
              </w:rPr>
            </w:pPr>
          </w:p>
        </w:tc>
      </w:tr>
      <w:tr w:rsidR="00CA132C" w:rsidTr="00804339">
        <w:trPr>
          <w:divId w:val="819083261"/>
        </w:trPr>
        <w:tc>
          <w:tcPr>
            <w:tcW w:w="1637" w:type="pct"/>
            <w:gridSpan w:val="2"/>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上述股东关联关系或一致行动的说明</w:t>
            </w:r>
          </w:p>
        </w:tc>
        <w:tc>
          <w:tcPr>
            <w:tcW w:w="3363" w:type="pct"/>
            <w:gridSpan w:val="6"/>
            <w:tcBorders>
              <w:top w:val="outset" w:sz="6" w:space="0" w:color="auto"/>
              <w:left w:val="outset" w:sz="6" w:space="0" w:color="auto"/>
              <w:bottom w:val="outset" w:sz="6" w:space="0" w:color="auto"/>
              <w:right w:val="outset" w:sz="6" w:space="0" w:color="auto"/>
            </w:tcBorders>
            <w:vAlign w:val="center"/>
            <w:hideMark/>
          </w:tcPr>
          <w:p w:rsidR="00CA132C" w:rsidRDefault="00CA132C">
            <w:pPr>
              <w:widowControl/>
              <w:rPr>
                <w:rFonts w:ascii="宋体" w:hAnsi="宋体" w:cs="宋体"/>
                <w:szCs w:val="21"/>
              </w:rPr>
            </w:pPr>
            <w:r>
              <w:rPr>
                <w:rFonts w:hAnsi="宋体" w:cs="宋体" w:hint="eastAsia"/>
                <w:szCs w:val="21"/>
              </w:rPr>
              <w:t>公司未知上述股东之间是否存在关联关系或一致行动。</w:t>
            </w:r>
            <w:r>
              <w:rPr>
                <w:rFonts w:hAnsi="宋体" w:cs="宋体" w:hint="eastAsia"/>
                <w:szCs w:val="21"/>
              </w:rPr>
              <w:t xml:space="preserve"> </w:t>
            </w:r>
          </w:p>
        </w:tc>
      </w:tr>
    </w:tbl>
    <w:p w:rsidR="00CA132C" w:rsidRDefault="00CA132C">
      <w:pPr>
        <w:widowControl/>
        <w:divId w:val="819083261"/>
        <w:rPr>
          <w:rFonts w:hAnsi="宋体" w:cs="宋体"/>
          <w:szCs w:val="21"/>
        </w:rPr>
      </w:pPr>
    </w:p>
    <w:p w:rsidR="00CA132C" w:rsidRDefault="00CA132C">
      <w:pPr>
        <w:outlineLvl w:val="2"/>
        <w:divId w:val="819083261"/>
        <w:rPr>
          <w:b/>
          <w:bCs/>
          <w:szCs w:val="18"/>
        </w:rPr>
      </w:pPr>
      <w:r>
        <w:rPr>
          <w:rFonts w:cs="宋体" w:hint="eastAsia"/>
          <w:b/>
          <w:bCs/>
        </w:rPr>
        <w:t xml:space="preserve">2.3 </w:t>
      </w:r>
      <w:r>
        <w:rPr>
          <w:rFonts w:hint="eastAsia"/>
          <w:b/>
          <w:bCs/>
        </w:rPr>
        <w:t xml:space="preserve">  </w:t>
      </w:r>
      <w:r>
        <w:rPr>
          <w:rFonts w:hint="eastAsia"/>
          <w:b/>
          <w:bCs/>
        </w:rPr>
        <w:t>控股股东或实际控制人变更情况</w:t>
      </w:r>
    </w:p>
    <w:p w:rsidR="00CA132C" w:rsidRDefault="00CA132C">
      <w:pPr>
        <w:divId w:val="819083261"/>
      </w:pPr>
      <w:r>
        <w:rPr>
          <w:rFonts w:hint="eastAsia"/>
        </w:rPr>
        <w:t>□适用</w:t>
      </w:r>
      <w:r>
        <w:rPr>
          <w:rFonts w:hint="eastAsia"/>
        </w:rPr>
        <w:t xml:space="preserve"> </w:t>
      </w:r>
      <w:r>
        <w:rPr>
          <w:rFonts w:hint="eastAsia"/>
        </w:rPr>
        <w:t>√不适用</w:t>
      </w:r>
    </w:p>
    <w:p w:rsidR="00CA132C" w:rsidRDefault="00CA132C">
      <w:pPr>
        <w:widowControl/>
        <w:divId w:val="819083261"/>
        <w:rPr>
          <w:rFonts w:hAnsi="宋体" w:cs="宋体"/>
          <w:szCs w:val="21"/>
        </w:rPr>
      </w:pPr>
    </w:p>
    <w:p w:rsidR="00CA132C" w:rsidRDefault="00CA132C">
      <w:pPr>
        <w:outlineLvl w:val="1"/>
        <w:divId w:val="819083261"/>
        <w:rPr>
          <w:b/>
          <w:bCs/>
          <w:kern w:val="36"/>
          <w:szCs w:val="18"/>
        </w:rPr>
      </w:pPr>
      <w:r>
        <w:rPr>
          <w:rFonts w:cs="宋体" w:hint="eastAsia"/>
          <w:b/>
          <w:bCs/>
          <w:kern w:val="36"/>
        </w:rPr>
        <w:t>三、</w:t>
      </w:r>
      <w:r>
        <w:rPr>
          <w:rFonts w:cs="宋体" w:hint="eastAsia"/>
          <w:b/>
          <w:bCs/>
          <w:kern w:val="36"/>
        </w:rPr>
        <w:t xml:space="preserve"> </w:t>
      </w:r>
      <w:r>
        <w:rPr>
          <w:rFonts w:hint="eastAsia"/>
          <w:b/>
          <w:bCs/>
          <w:kern w:val="36"/>
        </w:rPr>
        <w:t xml:space="preserve"> </w:t>
      </w:r>
      <w:r>
        <w:rPr>
          <w:rFonts w:hint="eastAsia"/>
          <w:b/>
          <w:bCs/>
          <w:kern w:val="36"/>
        </w:rPr>
        <w:t>管理</w:t>
      </w:r>
      <w:proofErr w:type="gramStart"/>
      <w:r>
        <w:rPr>
          <w:rFonts w:hint="eastAsia"/>
          <w:b/>
          <w:bCs/>
          <w:kern w:val="36"/>
        </w:rPr>
        <w:t>层讨论</w:t>
      </w:r>
      <w:proofErr w:type="gramEnd"/>
      <w:r>
        <w:rPr>
          <w:rFonts w:hint="eastAsia"/>
          <w:b/>
          <w:bCs/>
          <w:kern w:val="36"/>
        </w:rPr>
        <w:t>与分析</w:t>
      </w:r>
    </w:p>
    <w:p w:rsidR="006B68AE" w:rsidRDefault="006B68AE" w:rsidP="006B68AE">
      <w:pPr>
        <w:ind w:firstLineChars="200" w:firstLine="420"/>
        <w:divId w:val="819083261"/>
      </w:pPr>
      <w:r>
        <w:rPr>
          <w:rFonts w:hint="eastAsia"/>
        </w:rPr>
        <w:t>（一）报告期内全球水泥技术装备与工程市场经营环境分析</w:t>
      </w:r>
    </w:p>
    <w:p w:rsidR="006B68AE" w:rsidRDefault="006B68AE" w:rsidP="006B68AE">
      <w:pPr>
        <w:ind w:firstLineChars="200" w:firstLine="420"/>
        <w:divId w:val="819083261"/>
      </w:pPr>
      <w:r>
        <w:rPr>
          <w:rFonts w:hint="eastAsia"/>
        </w:rPr>
        <w:t>1</w:t>
      </w:r>
      <w:r>
        <w:rPr>
          <w:rFonts w:hint="eastAsia"/>
        </w:rPr>
        <w:t>、国内市场</w:t>
      </w:r>
    </w:p>
    <w:p w:rsidR="006B68AE" w:rsidRDefault="006B68AE" w:rsidP="006B68AE">
      <w:pPr>
        <w:ind w:firstLineChars="200" w:firstLine="420"/>
        <w:divId w:val="819083261"/>
      </w:pPr>
      <w:r>
        <w:rPr>
          <w:rFonts w:hint="eastAsia"/>
        </w:rPr>
        <w:t>报告期内，在城镇化建设、水利建设、交通基础设施建设等需求带动下，国内水泥产量同比上升</w:t>
      </w:r>
      <w:r>
        <w:rPr>
          <w:rFonts w:hint="eastAsia"/>
        </w:rPr>
        <w:t>9.6%</w:t>
      </w:r>
      <w:r>
        <w:rPr>
          <w:rFonts w:hint="eastAsia"/>
        </w:rPr>
        <w:t>，但受宏观调控趋紧等因素影响水泥投资增速进一步回落，水泥工程项目有所减少。经济结构调整力度加大为公司在水泥产业节能环保领域的发展提供了更多机会。</w:t>
      </w:r>
    </w:p>
    <w:p w:rsidR="006B68AE" w:rsidRDefault="006B68AE" w:rsidP="006B68AE">
      <w:pPr>
        <w:ind w:firstLineChars="200" w:firstLine="420"/>
        <w:divId w:val="819083261"/>
      </w:pPr>
      <w:r>
        <w:rPr>
          <w:rFonts w:hint="eastAsia"/>
        </w:rPr>
        <w:t>2</w:t>
      </w:r>
      <w:r>
        <w:rPr>
          <w:rFonts w:hint="eastAsia"/>
        </w:rPr>
        <w:t>、国际市场</w:t>
      </w:r>
    </w:p>
    <w:p w:rsidR="006B68AE" w:rsidRDefault="006B68AE" w:rsidP="006B68AE">
      <w:pPr>
        <w:ind w:firstLineChars="200" w:firstLine="420"/>
        <w:divId w:val="819083261"/>
      </w:pPr>
      <w:r>
        <w:rPr>
          <w:rFonts w:hint="eastAsia"/>
        </w:rPr>
        <w:t>报告期，全球经济整体低迷，局部有活跃趋势，全球水泥技术装备和工程市场投资者信</w:t>
      </w:r>
      <w:r>
        <w:rPr>
          <w:rFonts w:hint="eastAsia"/>
        </w:rPr>
        <w:lastRenderedPageBreak/>
        <w:t>心在不断恢复，累积的需求推动水泥工业投资有一定程度的增长，尤其在东南亚、中东、非洲区域，</w:t>
      </w:r>
      <w:r>
        <w:rPr>
          <w:rFonts w:hint="eastAsia"/>
        </w:rPr>
        <w:t xml:space="preserve"> </w:t>
      </w:r>
      <w:r>
        <w:rPr>
          <w:rFonts w:hint="eastAsia"/>
        </w:rPr>
        <w:t>市场有明显改观。在区域市场，我们还看到了大型国际水泥投资商由全面收缩向试探性扩张转变的趋势。</w:t>
      </w:r>
    </w:p>
    <w:p w:rsidR="006B68AE" w:rsidRDefault="006B68AE" w:rsidP="006B68AE">
      <w:pPr>
        <w:ind w:firstLineChars="200" w:firstLine="420"/>
        <w:divId w:val="819083261"/>
      </w:pPr>
      <w:r>
        <w:rPr>
          <w:rFonts w:hint="eastAsia"/>
        </w:rPr>
        <w:t>（二）报告期内公司经营情况回顾</w:t>
      </w:r>
    </w:p>
    <w:p w:rsidR="006B68AE" w:rsidRDefault="006B68AE" w:rsidP="006B68AE">
      <w:pPr>
        <w:ind w:firstLineChars="200" w:firstLine="420"/>
        <w:divId w:val="819083261"/>
      </w:pPr>
      <w:r>
        <w:rPr>
          <w:rFonts w:hint="eastAsia"/>
        </w:rPr>
        <w:t>报告期，公司继续以水泥技术装备工程业务为重心，以有限相关多元发展为导向，大力开拓市场，狠抓项目履约，在国内外宏观环境</w:t>
      </w:r>
      <w:proofErr w:type="gramStart"/>
      <w:r>
        <w:rPr>
          <w:rFonts w:hint="eastAsia"/>
        </w:rPr>
        <w:t>仍整体</w:t>
      </w:r>
      <w:proofErr w:type="gramEnd"/>
      <w:r>
        <w:rPr>
          <w:rFonts w:hint="eastAsia"/>
        </w:rPr>
        <w:t>疲弱的环境下，实现了市场签约的大幅增长和全球竞争力的进一步提升，为后续发展奠定了基础。</w:t>
      </w:r>
    </w:p>
    <w:p w:rsidR="006B68AE" w:rsidRDefault="006B68AE" w:rsidP="006B68AE">
      <w:pPr>
        <w:ind w:firstLineChars="200" w:firstLine="420"/>
        <w:divId w:val="819083261"/>
      </w:pPr>
      <w:r>
        <w:rPr>
          <w:rFonts w:hint="eastAsia"/>
        </w:rPr>
        <w:t>1</w:t>
      </w:r>
      <w:r>
        <w:rPr>
          <w:rFonts w:hint="eastAsia"/>
        </w:rPr>
        <w:t>、市场开拓成效明显，公司持续发展的基础进一步夯实</w:t>
      </w:r>
    </w:p>
    <w:p w:rsidR="006B68AE" w:rsidRDefault="006B68AE" w:rsidP="006B68AE">
      <w:pPr>
        <w:ind w:firstLineChars="200" w:firstLine="420"/>
        <w:divId w:val="819083261"/>
      </w:pPr>
      <w:r>
        <w:rPr>
          <w:rFonts w:hint="eastAsia"/>
        </w:rPr>
        <w:t>报告期，公司在市场开拓方面的持续努力，获得较好回报。报告期共签订合同</w:t>
      </w:r>
      <w:r>
        <w:rPr>
          <w:rFonts w:hint="eastAsia"/>
        </w:rPr>
        <w:t>210</w:t>
      </w:r>
      <w:r>
        <w:rPr>
          <w:rFonts w:hint="eastAsia"/>
        </w:rPr>
        <w:t>亿元，其中新签水泥装备工程业合同</w:t>
      </w:r>
      <w:r>
        <w:rPr>
          <w:rFonts w:hint="eastAsia"/>
        </w:rPr>
        <w:t>201</w:t>
      </w:r>
      <w:r>
        <w:rPr>
          <w:rFonts w:hint="eastAsia"/>
        </w:rPr>
        <w:t>亿元，同比增长</w:t>
      </w:r>
      <w:r>
        <w:rPr>
          <w:rFonts w:hint="eastAsia"/>
        </w:rPr>
        <w:t>58%</w:t>
      </w:r>
      <w:r>
        <w:rPr>
          <w:rFonts w:hint="eastAsia"/>
        </w:rPr>
        <w:t>。水泥装备工程合同中，</w:t>
      </w:r>
      <w:proofErr w:type="gramStart"/>
      <w:r>
        <w:rPr>
          <w:rFonts w:hint="eastAsia"/>
        </w:rPr>
        <w:t>海外合同</w:t>
      </w:r>
      <w:proofErr w:type="gramEnd"/>
      <w:r>
        <w:rPr>
          <w:rFonts w:hint="eastAsia"/>
        </w:rPr>
        <w:t>148</w:t>
      </w:r>
      <w:r>
        <w:rPr>
          <w:rFonts w:hint="eastAsia"/>
        </w:rPr>
        <w:t>亿元（总承包合同占</w:t>
      </w:r>
      <w:r>
        <w:rPr>
          <w:rFonts w:hint="eastAsia"/>
        </w:rPr>
        <w:t>97%</w:t>
      </w:r>
      <w:r>
        <w:rPr>
          <w:rFonts w:hint="eastAsia"/>
        </w:rPr>
        <w:t>），同比上涨</w:t>
      </w:r>
      <w:r>
        <w:rPr>
          <w:rFonts w:hint="eastAsia"/>
        </w:rPr>
        <w:t>106%</w:t>
      </w:r>
      <w:r>
        <w:rPr>
          <w:rFonts w:hint="eastAsia"/>
        </w:rPr>
        <w:t>，占比</w:t>
      </w:r>
      <w:r>
        <w:rPr>
          <w:rFonts w:hint="eastAsia"/>
        </w:rPr>
        <w:t>74%</w:t>
      </w:r>
      <w:r>
        <w:rPr>
          <w:rFonts w:hint="eastAsia"/>
        </w:rPr>
        <w:t>；</w:t>
      </w:r>
      <w:proofErr w:type="gramStart"/>
      <w:r>
        <w:rPr>
          <w:rFonts w:hint="eastAsia"/>
        </w:rPr>
        <w:t>国内合同</w:t>
      </w:r>
      <w:proofErr w:type="gramEnd"/>
      <w:r>
        <w:rPr>
          <w:rFonts w:hint="eastAsia"/>
        </w:rPr>
        <w:t>53</w:t>
      </w:r>
      <w:r>
        <w:rPr>
          <w:rFonts w:hint="eastAsia"/>
        </w:rPr>
        <w:t>亿元，同比下降</w:t>
      </w:r>
      <w:r>
        <w:rPr>
          <w:rFonts w:hint="eastAsia"/>
        </w:rPr>
        <w:t>7%</w:t>
      </w:r>
      <w:r>
        <w:rPr>
          <w:rFonts w:hint="eastAsia"/>
        </w:rPr>
        <w:t>，占比</w:t>
      </w:r>
      <w:r>
        <w:rPr>
          <w:rFonts w:hint="eastAsia"/>
        </w:rPr>
        <w:t>26%</w:t>
      </w:r>
      <w:r>
        <w:rPr>
          <w:rFonts w:hint="eastAsia"/>
        </w:rPr>
        <w:t>。新签</w:t>
      </w:r>
      <w:proofErr w:type="gramStart"/>
      <w:r>
        <w:rPr>
          <w:rFonts w:hint="eastAsia"/>
        </w:rPr>
        <w:t>海外合同</w:t>
      </w:r>
      <w:proofErr w:type="gramEnd"/>
      <w:r>
        <w:rPr>
          <w:rFonts w:hint="eastAsia"/>
        </w:rPr>
        <w:t>中，东南亚区域占</w:t>
      </w:r>
      <w:r>
        <w:rPr>
          <w:rFonts w:hint="eastAsia"/>
        </w:rPr>
        <w:t>43%</w:t>
      </w:r>
      <w:r>
        <w:rPr>
          <w:rFonts w:hint="eastAsia"/>
        </w:rPr>
        <w:t>，中东占</w:t>
      </w:r>
      <w:r>
        <w:rPr>
          <w:rFonts w:hint="eastAsia"/>
        </w:rPr>
        <w:t>30%</w:t>
      </w:r>
      <w:r>
        <w:rPr>
          <w:rFonts w:hint="eastAsia"/>
        </w:rPr>
        <w:t>，非洲占</w:t>
      </w:r>
      <w:r>
        <w:rPr>
          <w:rFonts w:hint="eastAsia"/>
        </w:rPr>
        <w:t>22%</w:t>
      </w:r>
      <w:r>
        <w:rPr>
          <w:rFonts w:hint="eastAsia"/>
        </w:rPr>
        <w:t>，其它区域占</w:t>
      </w:r>
      <w:r>
        <w:rPr>
          <w:rFonts w:hint="eastAsia"/>
        </w:rPr>
        <w:t>5%</w:t>
      </w:r>
      <w:r>
        <w:rPr>
          <w:rFonts w:hint="eastAsia"/>
        </w:rPr>
        <w:t>。报告期末，公司在执行结转合同</w:t>
      </w:r>
      <w:r>
        <w:rPr>
          <w:rFonts w:hint="eastAsia"/>
        </w:rPr>
        <w:t>436</w:t>
      </w:r>
      <w:r>
        <w:rPr>
          <w:rFonts w:hint="eastAsia"/>
        </w:rPr>
        <w:t>亿元，在生效过程中的合同</w:t>
      </w:r>
      <w:r>
        <w:rPr>
          <w:rFonts w:hint="eastAsia"/>
        </w:rPr>
        <w:t>143</w:t>
      </w:r>
      <w:r>
        <w:rPr>
          <w:rFonts w:hint="eastAsia"/>
        </w:rPr>
        <w:t>亿元。预计全年公司国际市场份额将进一步提升。</w:t>
      </w:r>
    </w:p>
    <w:p w:rsidR="006B68AE" w:rsidRDefault="006B68AE" w:rsidP="006B68AE">
      <w:pPr>
        <w:ind w:firstLineChars="200" w:firstLine="420"/>
        <w:divId w:val="819083261"/>
      </w:pPr>
      <w:r>
        <w:rPr>
          <w:rFonts w:hint="eastAsia"/>
        </w:rPr>
        <w:t>2</w:t>
      </w:r>
      <w:r>
        <w:rPr>
          <w:rFonts w:hint="eastAsia"/>
        </w:rPr>
        <w:t>、</w:t>
      </w:r>
      <w:proofErr w:type="gramStart"/>
      <w:r>
        <w:rPr>
          <w:rFonts w:hint="eastAsia"/>
        </w:rPr>
        <w:t>强化总</w:t>
      </w:r>
      <w:proofErr w:type="gramEnd"/>
      <w:r>
        <w:rPr>
          <w:rFonts w:hint="eastAsia"/>
        </w:rPr>
        <w:t>承包工程项目履约，主业发展更为稳健</w:t>
      </w:r>
      <w:r>
        <w:rPr>
          <w:rFonts w:hint="eastAsia"/>
        </w:rPr>
        <w:t xml:space="preserve"> </w:t>
      </w:r>
    </w:p>
    <w:p w:rsidR="006B68AE" w:rsidRDefault="006B68AE" w:rsidP="006B68AE">
      <w:pPr>
        <w:ind w:firstLineChars="200" w:firstLine="420"/>
        <w:divId w:val="819083261"/>
      </w:pPr>
      <w:r>
        <w:rPr>
          <w:rFonts w:hint="eastAsia"/>
        </w:rPr>
        <w:t>报告期，公司在执行的总承包及建安类项目</w:t>
      </w:r>
      <w:r>
        <w:rPr>
          <w:rFonts w:hint="eastAsia"/>
        </w:rPr>
        <w:t>147</w:t>
      </w:r>
      <w:r>
        <w:rPr>
          <w:rFonts w:hint="eastAsia"/>
        </w:rPr>
        <w:t>个，项目整体履约正常，共有</w:t>
      </w:r>
      <w:r>
        <w:rPr>
          <w:rFonts w:hint="eastAsia"/>
        </w:rPr>
        <w:t>6</w:t>
      </w:r>
      <w:r>
        <w:rPr>
          <w:rFonts w:hint="eastAsia"/>
        </w:rPr>
        <w:t>个总承包项目取得</w:t>
      </w:r>
      <w:r>
        <w:rPr>
          <w:rFonts w:hint="eastAsia"/>
        </w:rPr>
        <w:t>PAC</w:t>
      </w:r>
      <w:r>
        <w:rPr>
          <w:rFonts w:hint="eastAsia"/>
        </w:rPr>
        <w:t>证书，</w:t>
      </w:r>
      <w:r>
        <w:rPr>
          <w:rFonts w:hint="eastAsia"/>
        </w:rPr>
        <w:t>7</w:t>
      </w:r>
      <w:r>
        <w:rPr>
          <w:rFonts w:hint="eastAsia"/>
        </w:rPr>
        <w:t>个项目取得</w:t>
      </w:r>
      <w:r>
        <w:rPr>
          <w:rFonts w:hint="eastAsia"/>
        </w:rPr>
        <w:t>FAC</w:t>
      </w:r>
      <w:r>
        <w:rPr>
          <w:rFonts w:hint="eastAsia"/>
        </w:rPr>
        <w:t>证书。总承包项目呈现新老交替及国内外区域结构变化的特征（由国内、国外</w:t>
      </w:r>
      <w:proofErr w:type="gramStart"/>
      <w:r>
        <w:rPr>
          <w:rFonts w:hint="eastAsia"/>
        </w:rPr>
        <w:t>均衡向</w:t>
      </w:r>
      <w:proofErr w:type="gramEnd"/>
      <w:r>
        <w:rPr>
          <w:rFonts w:hint="eastAsia"/>
        </w:rPr>
        <w:t>国外为主的变化）。公司持续推进内部组织整合后的融合，项目履约资源的配置更为合理。</w:t>
      </w:r>
    </w:p>
    <w:p w:rsidR="006B68AE" w:rsidRDefault="006B68AE" w:rsidP="006B68AE">
      <w:pPr>
        <w:ind w:firstLineChars="200" w:firstLine="420"/>
        <w:divId w:val="819083261"/>
      </w:pPr>
      <w:r>
        <w:rPr>
          <w:rFonts w:hint="eastAsia"/>
        </w:rPr>
        <w:t>3</w:t>
      </w:r>
      <w:r>
        <w:rPr>
          <w:rFonts w:hint="eastAsia"/>
        </w:rPr>
        <w:t>、稳步发展新业务，积极培育公司未来经济增长点</w:t>
      </w:r>
    </w:p>
    <w:p w:rsidR="006B68AE" w:rsidRDefault="006B68AE" w:rsidP="006B68AE">
      <w:pPr>
        <w:ind w:firstLineChars="200" w:firstLine="420"/>
        <w:divId w:val="819083261"/>
      </w:pPr>
      <w:r>
        <w:rPr>
          <w:rFonts w:hint="eastAsia"/>
        </w:rPr>
        <w:t>报告期，公司积极为新业务发展配置资源、创造条件，各项业务有序推进。在钢厂、骨料、粉煤灰领域签订了</w:t>
      </w:r>
      <w:r>
        <w:rPr>
          <w:rFonts w:hint="eastAsia"/>
        </w:rPr>
        <w:t>3</w:t>
      </w:r>
      <w:r>
        <w:rPr>
          <w:rFonts w:hint="eastAsia"/>
        </w:rPr>
        <w:t>个总承包合同，金额约</w:t>
      </w:r>
      <w:r>
        <w:rPr>
          <w:rFonts w:hint="eastAsia"/>
        </w:rPr>
        <w:t>4.3</w:t>
      </w:r>
      <w:r>
        <w:rPr>
          <w:rFonts w:hint="eastAsia"/>
        </w:rPr>
        <w:t>亿元；溧阳利用水泥窑处置城市生活垃圾科研成果产业化项目运转稳定，产生了广泛的社会和市场影响，处于产业化推广进入期；以获取矿业等领域专业装备的品牌、技术、研发、渠道资源为目标的努力取得一定进展；海外水泥投资已由广泛调研进入到具体项目的准备阶段。新业务稳步发展，为公司业务结构优化、新的增长点的形成集聚着能量。</w:t>
      </w:r>
    </w:p>
    <w:p w:rsidR="006B68AE" w:rsidRDefault="006B68AE" w:rsidP="006B68AE">
      <w:pPr>
        <w:ind w:firstLineChars="200" w:firstLine="420"/>
        <w:divId w:val="819083261"/>
      </w:pPr>
      <w:r>
        <w:rPr>
          <w:rFonts w:hint="eastAsia"/>
        </w:rPr>
        <w:t>4</w:t>
      </w:r>
      <w:r>
        <w:rPr>
          <w:rFonts w:hint="eastAsia"/>
        </w:rPr>
        <w:t>、强化风险控制，妥善处置</w:t>
      </w:r>
      <w:proofErr w:type="gramStart"/>
      <w:r>
        <w:rPr>
          <w:rFonts w:hint="eastAsia"/>
        </w:rPr>
        <w:t>钢贸业务</w:t>
      </w:r>
      <w:proofErr w:type="gramEnd"/>
      <w:r>
        <w:rPr>
          <w:rFonts w:hint="eastAsia"/>
        </w:rPr>
        <w:t>后续问题</w:t>
      </w:r>
    </w:p>
    <w:p w:rsidR="006B68AE" w:rsidRDefault="006B68AE" w:rsidP="006B68AE">
      <w:pPr>
        <w:ind w:firstLineChars="200" w:firstLine="420"/>
        <w:divId w:val="819083261"/>
      </w:pPr>
      <w:r>
        <w:rPr>
          <w:rFonts w:hint="eastAsia"/>
        </w:rPr>
        <w:t>报告期，公司积极开展风险自查和整改活动，完善风险控制体系，夯实管理基础。子公司东方贸易的</w:t>
      </w:r>
      <w:proofErr w:type="gramStart"/>
      <w:r>
        <w:rPr>
          <w:rFonts w:hint="eastAsia"/>
        </w:rPr>
        <w:t>钢贸业务</w:t>
      </w:r>
      <w:proofErr w:type="gramEnd"/>
      <w:r>
        <w:rPr>
          <w:rFonts w:hint="eastAsia"/>
        </w:rPr>
        <w:t>已全面停止，由法律、财务、贸易等方面专业人员组成的工作组已全面展开资产保全工作，通过一切合法手段追偿债务，减少公司损失，维护公司利益。公司水泥技术装备工程主业没有</w:t>
      </w:r>
      <w:proofErr w:type="gramStart"/>
      <w:r>
        <w:rPr>
          <w:rFonts w:hint="eastAsia"/>
        </w:rPr>
        <w:t>受到钢贸事项</w:t>
      </w:r>
      <w:proofErr w:type="gramEnd"/>
      <w:r>
        <w:rPr>
          <w:rFonts w:hint="eastAsia"/>
        </w:rPr>
        <w:t>的干扰。</w:t>
      </w:r>
      <w:r>
        <w:rPr>
          <w:rFonts w:hint="eastAsia"/>
        </w:rPr>
        <w:t xml:space="preserve"> </w:t>
      </w:r>
    </w:p>
    <w:p w:rsidR="006B68AE" w:rsidRDefault="006B68AE" w:rsidP="006B68AE">
      <w:pPr>
        <w:ind w:firstLineChars="200" w:firstLine="420"/>
        <w:divId w:val="819083261"/>
      </w:pPr>
      <w:r>
        <w:rPr>
          <w:rFonts w:hint="eastAsia"/>
        </w:rPr>
        <w:t>（三）董事会关于公司未来发展的讨论与分析</w:t>
      </w:r>
    </w:p>
    <w:p w:rsidR="006B68AE" w:rsidRDefault="006B68AE" w:rsidP="006B68AE">
      <w:pPr>
        <w:ind w:firstLineChars="200" w:firstLine="420"/>
        <w:divId w:val="819083261"/>
      </w:pPr>
      <w:r>
        <w:rPr>
          <w:rFonts w:hint="eastAsia"/>
        </w:rPr>
        <w:t>1</w:t>
      </w:r>
      <w:r>
        <w:rPr>
          <w:rFonts w:hint="eastAsia"/>
        </w:rPr>
        <w:t>、行业竞争格局和发展趋势</w:t>
      </w:r>
    </w:p>
    <w:p w:rsidR="006B68AE" w:rsidRDefault="006B68AE" w:rsidP="006B68AE">
      <w:pPr>
        <w:ind w:firstLineChars="200" w:firstLine="420"/>
        <w:divId w:val="819083261"/>
      </w:pPr>
      <w:r>
        <w:rPr>
          <w:rFonts w:hint="eastAsia"/>
        </w:rPr>
        <w:t>（</w:t>
      </w:r>
      <w:r>
        <w:rPr>
          <w:rFonts w:hint="eastAsia"/>
        </w:rPr>
        <w:t>1</w:t>
      </w:r>
      <w:r>
        <w:rPr>
          <w:rFonts w:hint="eastAsia"/>
        </w:rPr>
        <w:t>）国内市场</w:t>
      </w:r>
    </w:p>
    <w:p w:rsidR="006B68AE" w:rsidRDefault="006B68AE" w:rsidP="006B68AE">
      <w:pPr>
        <w:ind w:firstLineChars="200" w:firstLine="420"/>
        <w:divId w:val="819083261"/>
      </w:pPr>
      <w:r>
        <w:rPr>
          <w:rFonts w:hint="eastAsia"/>
        </w:rPr>
        <w:t>随着《关于坚决遏制产能严重过剩行业盲目扩张的通知》（发</w:t>
      </w:r>
      <w:proofErr w:type="gramStart"/>
      <w:r>
        <w:rPr>
          <w:rFonts w:hint="eastAsia"/>
        </w:rPr>
        <w:t>改产业</w:t>
      </w:r>
      <w:proofErr w:type="gramEnd"/>
      <w:r>
        <w:rPr>
          <w:rFonts w:hint="eastAsia"/>
        </w:rPr>
        <w:t>〔</w:t>
      </w:r>
      <w:r>
        <w:rPr>
          <w:rFonts w:hint="eastAsia"/>
        </w:rPr>
        <w:t>2013</w:t>
      </w:r>
      <w:r>
        <w:rPr>
          <w:rFonts w:hint="eastAsia"/>
        </w:rPr>
        <w:t>〕</w:t>
      </w:r>
      <w:r>
        <w:rPr>
          <w:rFonts w:hint="eastAsia"/>
        </w:rPr>
        <w:t>892</w:t>
      </w:r>
      <w:r>
        <w:rPr>
          <w:rFonts w:hint="eastAsia"/>
        </w:rPr>
        <w:t>号）文件的出台，水泥行业宏观调控政策愈加严厉，预计短期内新增水泥工程项目将进一步减少，围绕水泥工业节能环保的技术改造及新技术应用项目将持续增加，备品备件及专业服务市场将展现一定的市场容量和发展空间。</w:t>
      </w:r>
    </w:p>
    <w:p w:rsidR="006B68AE" w:rsidRDefault="006B68AE" w:rsidP="006B68AE">
      <w:pPr>
        <w:ind w:firstLineChars="200" w:firstLine="420"/>
        <w:divId w:val="819083261"/>
      </w:pPr>
      <w:r>
        <w:rPr>
          <w:rFonts w:hint="eastAsia"/>
        </w:rPr>
        <w:t>（</w:t>
      </w:r>
      <w:r>
        <w:rPr>
          <w:rFonts w:hint="eastAsia"/>
        </w:rPr>
        <w:t>2</w:t>
      </w:r>
      <w:r>
        <w:rPr>
          <w:rFonts w:hint="eastAsia"/>
        </w:rPr>
        <w:t>）国际市场</w:t>
      </w:r>
    </w:p>
    <w:p w:rsidR="006B68AE" w:rsidRDefault="006B68AE" w:rsidP="006B68AE">
      <w:pPr>
        <w:ind w:firstLineChars="200" w:firstLine="420"/>
        <w:divId w:val="819083261"/>
      </w:pPr>
      <w:r>
        <w:rPr>
          <w:rFonts w:hint="eastAsia"/>
        </w:rPr>
        <w:t>受宏观经济影响，全球水泥工程市场在疲弱中</w:t>
      </w:r>
      <w:proofErr w:type="gramStart"/>
      <w:r>
        <w:rPr>
          <w:rFonts w:hint="eastAsia"/>
        </w:rPr>
        <w:t>积聚着</w:t>
      </w:r>
      <w:proofErr w:type="gramEnd"/>
      <w:r>
        <w:rPr>
          <w:rFonts w:hint="eastAsia"/>
        </w:rPr>
        <w:t>向上的力量。随着东南亚、中东、非洲等局部经济渐趋活跃和商业信心的恢复，区域水泥工程询价和招标活动将进一步回暖，全球大中型水泥投资商在资本性支出和产能扩张方面已开始试探性地有所举动，部分区域性水泥生产商加快布局的迹象明显，行业</w:t>
      </w:r>
      <w:proofErr w:type="gramStart"/>
      <w:r>
        <w:rPr>
          <w:rFonts w:hint="eastAsia"/>
        </w:rPr>
        <w:t>景气度按地域</w:t>
      </w:r>
      <w:proofErr w:type="gramEnd"/>
      <w:r>
        <w:rPr>
          <w:rFonts w:hint="eastAsia"/>
        </w:rPr>
        <w:t>、区域化轮动的特征依然稳定保持，预计下半年年全球新增水泥投资需求仍将保持一定的活跃度。管理</w:t>
      </w:r>
      <w:proofErr w:type="gramStart"/>
      <w:r>
        <w:rPr>
          <w:rFonts w:hint="eastAsia"/>
        </w:rPr>
        <w:t>层更为</w:t>
      </w:r>
      <w:proofErr w:type="gramEnd"/>
      <w:r>
        <w:rPr>
          <w:rFonts w:hint="eastAsia"/>
        </w:rPr>
        <w:t>关注的是公司几年来</w:t>
      </w:r>
      <w:r>
        <w:rPr>
          <w:rFonts w:hint="eastAsia"/>
        </w:rPr>
        <w:lastRenderedPageBreak/>
        <w:t>逐步调整市场结构的策略产生明显效果，国际市场的竞争优势和品牌优势对公司产生了重要的引领作用，预计这种效应在未来几年还将继续保持和提升。国际市场成为公司业务的主要市场的格局为公司盈利能力的提升、抵消国内市场下滑不利影响是积极正面、令人鼓舞的。</w:t>
      </w:r>
    </w:p>
    <w:p w:rsidR="006B68AE" w:rsidRDefault="006B68AE" w:rsidP="006B68AE">
      <w:pPr>
        <w:ind w:firstLineChars="200" w:firstLine="420"/>
        <w:divId w:val="819083261"/>
      </w:pPr>
      <w:r>
        <w:rPr>
          <w:rFonts w:hint="eastAsia"/>
        </w:rPr>
        <w:t>（</w:t>
      </w:r>
      <w:r>
        <w:rPr>
          <w:rFonts w:hint="eastAsia"/>
        </w:rPr>
        <w:t>3</w:t>
      </w:r>
      <w:r>
        <w:rPr>
          <w:rFonts w:hint="eastAsia"/>
        </w:rPr>
        <w:t>）竞争格局</w:t>
      </w:r>
    </w:p>
    <w:p w:rsidR="006B68AE" w:rsidRDefault="006B68AE" w:rsidP="006B68AE">
      <w:pPr>
        <w:ind w:firstLineChars="200" w:firstLine="420"/>
        <w:divId w:val="819083261"/>
      </w:pPr>
      <w:r>
        <w:rPr>
          <w:rFonts w:hint="eastAsia"/>
        </w:rPr>
        <w:t>国内市场方面，公司仍是综合实力最强的行业领头羊，在装备制造、建设安装等细分市场，有较多的市场参与者，对公司形成一定影响。国际市场方面，市场竞争仍较为激烈，传统的三家欧洲公司仍然是公司主要的竞争对手，从上半年订单看，公司优势地位进一步明显，符合管理层预期。预计这种态势将在下半年延续。</w:t>
      </w:r>
    </w:p>
    <w:p w:rsidR="006B68AE" w:rsidRDefault="006B68AE" w:rsidP="006B68AE">
      <w:pPr>
        <w:ind w:firstLineChars="200" w:firstLine="420"/>
        <w:divId w:val="819083261"/>
      </w:pPr>
      <w:r>
        <w:rPr>
          <w:rFonts w:hint="eastAsia"/>
        </w:rPr>
        <w:t>2</w:t>
      </w:r>
      <w:r>
        <w:rPr>
          <w:rFonts w:hint="eastAsia"/>
        </w:rPr>
        <w:t>、公司面临的发展机遇与挑战</w:t>
      </w:r>
      <w:r>
        <w:rPr>
          <w:rFonts w:hint="eastAsia"/>
        </w:rPr>
        <w:br/>
      </w:r>
      <w:r>
        <w:rPr>
          <w:rFonts w:hint="eastAsia"/>
        </w:rPr>
        <w:t>发展机遇方面</w:t>
      </w:r>
    </w:p>
    <w:p w:rsidR="006B68AE" w:rsidRDefault="006B68AE" w:rsidP="006B68AE">
      <w:pPr>
        <w:ind w:firstLineChars="200" w:firstLine="420"/>
        <w:divId w:val="819083261"/>
      </w:pPr>
      <w:r>
        <w:rPr>
          <w:rFonts w:hint="eastAsia"/>
        </w:rPr>
        <w:t>（</w:t>
      </w:r>
      <w:r>
        <w:rPr>
          <w:rFonts w:hint="eastAsia"/>
        </w:rPr>
        <w:t>1</w:t>
      </w:r>
      <w:r>
        <w:rPr>
          <w:rFonts w:hint="eastAsia"/>
        </w:rPr>
        <w:t>）国际市场活跃度提升，市场签单形势良好，占比升高。公司国际市场竞争力和定价话语权不断提升，全球市场品牌贡献率仍有较大提升空间；</w:t>
      </w:r>
    </w:p>
    <w:p w:rsidR="006B68AE" w:rsidRDefault="006B68AE" w:rsidP="006B68AE">
      <w:pPr>
        <w:ind w:firstLineChars="200" w:firstLine="420"/>
        <w:divId w:val="819083261"/>
      </w:pPr>
      <w:r>
        <w:rPr>
          <w:rFonts w:hint="eastAsia"/>
        </w:rPr>
        <w:t>（</w:t>
      </w:r>
      <w:r>
        <w:rPr>
          <w:rFonts w:hint="eastAsia"/>
        </w:rPr>
        <w:t>2</w:t>
      </w:r>
      <w:r>
        <w:rPr>
          <w:rFonts w:hint="eastAsia"/>
        </w:rPr>
        <w:t>）整合内部资源、项目管理和装备制造规范化带来的履约能力和履约质量提升，市场美誉度的提高有利于全球业务的拓展及未来盈利能力的持续改善；</w:t>
      </w:r>
    </w:p>
    <w:p w:rsidR="006B68AE" w:rsidRDefault="006B68AE" w:rsidP="006B68AE">
      <w:pPr>
        <w:ind w:firstLineChars="200" w:firstLine="420"/>
        <w:divId w:val="819083261"/>
      </w:pPr>
      <w:r>
        <w:rPr>
          <w:rFonts w:hint="eastAsia"/>
        </w:rPr>
        <w:t>（</w:t>
      </w:r>
      <w:r>
        <w:rPr>
          <w:rFonts w:hint="eastAsia"/>
        </w:rPr>
        <w:t>3</w:t>
      </w:r>
      <w:r>
        <w:rPr>
          <w:rFonts w:hint="eastAsia"/>
        </w:rPr>
        <w:t>）以环保业务、工程业务多元化为代表的有限相关多元战略作用将日趋明显。技术研发及其商品化对公司发展的支撑作用得到巩固和加强；</w:t>
      </w:r>
    </w:p>
    <w:p w:rsidR="006B68AE" w:rsidRDefault="006B68AE" w:rsidP="006B68AE">
      <w:pPr>
        <w:ind w:firstLineChars="200" w:firstLine="420"/>
        <w:divId w:val="819083261"/>
      </w:pPr>
      <w:r>
        <w:rPr>
          <w:rFonts w:hint="eastAsia"/>
        </w:rPr>
        <w:t>（</w:t>
      </w:r>
      <w:r>
        <w:rPr>
          <w:rFonts w:hint="eastAsia"/>
        </w:rPr>
        <w:t>4</w:t>
      </w:r>
      <w:r>
        <w:rPr>
          <w:rFonts w:hint="eastAsia"/>
        </w:rPr>
        <w:t>）受国际宏观经济及美元走势影响，预计全球大宗商品价格、海运费等处于低价格运行周期，对公司项目盈利水平提升有正面影响；</w:t>
      </w:r>
    </w:p>
    <w:p w:rsidR="006B68AE" w:rsidRDefault="006B68AE" w:rsidP="006B68AE">
      <w:pPr>
        <w:ind w:firstLineChars="200" w:firstLine="420"/>
        <w:divId w:val="819083261"/>
      </w:pPr>
      <w:r>
        <w:rPr>
          <w:rFonts w:hint="eastAsia"/>
        </w:rPr>
        <w:t>（</w:t>
      </w:r>
      <w:r>
        <w:rPr>
          <w:rFonts w:hint="eastAsia"/>
        </w:rPr>
        <w:t>5</w:t>
      </w:r>
      <w:r>
        <w:rPr>
          <w:rFonts w:hint="eastAsia"/>
        </w:rPr>
        <w:t>）金融危机背景下，公司以适宜价格可获取的外部资源增多，为公司新业务发展及资源配置提供了更多机会。</w:t>
      </w:r>
      <w:r>
        <w:rPr>
          <w:rFonts w:hint="eastAsia"/>
        </w:rPr>
        <w:br/>
      </w:r>
      <w:r>
        <w:rPr>
          <w:rFonts w:hint="eastAsia"/>
        </w:rPr>
        <w:t>面临挑战方面：</w:t>
      </w:r>
    </w:p>
    <w:p w:rsidR="006B68AE" w:rsidRDefault="006B68AE" w:rsidP="006B68AE">
      <w:pPr>
        <w:ind w:firstLineChars="200" w:firstLine="420"/>
        <w:divId w:val="819083261"/>
      </w:pPr>
      <w:r>
        <w:rPr>
          <w:rFonts w:hint="eastAsia"/>
        </w:rPr>
        <w:t>（</w:t>
      </w:r>
      <w:r>
        <w:rPr>
          <w:rFonts w:hint="eastAsia"/>
        </w:rPr>
        <w:t>1</w:t>
      </w:r>
      <w:r>
        <w:rPr>
          <w:rFonts w:hint="eastAsia"/>
        </w:rPr>
        <w:t>）全球宏观经济仍面临诸多压力，国内市场下滑趋势明显，国际市场的持续性恢复仍存有较多的不确定性；</w:t>
      </w:r>
    </w:p>
    <w:p w:rsidR="006B68AE" w:rsidRDefault="006B68AE" w:rsidP="006B68AE">
      <w:pPr>
        <w:ind w:firstLineChars="200" w:firstLine="420"/>
        <w:divId w:val="819083261"/>
      </w:pPr>
      <w:r>
        <w:rPr>
          <w:rFonts w:hint="eastAsia"/>
        </w:rPr>
        <w:t>（</w:t>
      </w:r>
      <w:r>
        <w:rPr>
          <w:rFonts w:hint="eastAsia"/>
        </w:rPr>
        <w:t>2</w:t>
      </w:r>
      <w:r>
        <w:rPr>
          <w:rFonts w:hint="eastAsia"/>
        </w:rPr>
        <w:t>）提升公司精细化管理水平和国际化经营水平的努力将是长期而艰苦的过程；</w:t>
      </w:r>
    </w:p>
    <w:p w:rsidR="006B68AE" w:rsidRDefault="006B68AE" w:rsidP="006B68AE">
      <w:pPr>
        <w:ind w:firstLineChars="200" w:firstLine="420"/>
        <w:divId w:val="819083261"/>
      </w:pPr>
      <w:r>
        <w:rPr>
          <w:rFonts w:hint="eastAsia"/>
        </w:rPr>
        <w:t>（</w:t>
      </w:r>
      <w:r>
        <w:rPr>
          <w:rFonts w:hint="eastAsia"/>
        </w:rPr>
        <w:t>3</w:t>
      </w:r>
      <w:r>
        <w:rPr>
          <w:rFonts w:hint="eastAsia"/>
        </w:rPr>
        <w:t>）提升客户服务占水泥工程业务比重及新产业培育方面尚需加快步伐。</w:t>
      </w:r>
    </w:p>
    <w:p w:rsidR="006B68AE" w:rsidRDefault="006B68AE" w:rsidP="006B68AE">
      <w:pPr>
        <w:ind w:firstLineChars="200" w:firstLine="420"/>
        <w:divId w:val="819083261"/>
      </w:pPr>
      <w:r>
        <w:rPr>
          <w:rFonts w:hint="eastAsia"/>
        </w:rPr>
        <w:t>3</w:t>
      </w:r>
      <w:r>
        <w:rPr>
          <w:rFonts w:hint="eastAsia"/>
        </w:rPr>
        <w:t>、经营计划及措施</w:t>
      </w:r>
    </w:p>
    <w:p w:rsidR="006B68AE" w:rsidRDefault="006B68AE" w:rsidP="006B68AE">
      <w:pPr>
        <w:ind w:firstLineChars="200" w:firstLine="420"/>
        <w:divId w:val="819083261"/>
      </w:pPr>
      <w:r>
        <w:rPr>
          <w:rFonts w:hint="eastAsia"/>
        </w:rPr>
        <w:t>下半年，预计公司主营业务将稳步发展，水泥工程主业盈利水平将比上半年有所提升。</w:t>
      </w:r>
    </w:p>
    <w:p w:rsidR="006B68AE" w:rsidRDefault="006B68AE" w:rsidP="006B68AE">
      <w:pPr>
        <w:ind w:firstLineChars="200" w:firstLine="420"/>
        <w:divId w:val="819083261"/>
      </w:pPr>
      <w:r>
        <w:rPr>
          <w:rFonts w:hint="eastAsia"/>
        </w:rPr>
        <w:t>（</w:t>
      </w:r>
      <w:r>
        <w:rPr>
          <w:rFonts w:hint="eastAsia"/>
        </w:rPr>
        <w:t>1</w:t>
      </w:r>
      <w:r>
        <w:rPr>
          <w:rFonts w:hint="eastAsia"/>
        </w:rPr>
        <w:t>）提升合同质量，进一步扩大市场成果</w:t>
      </w:r>
    </w:p>
    <w:p w:rsidR="006B68AE" w:rsidRDefault="006B68AE" w:rsidP="006B68AE">
      <w:pPr>
        <w:ind w:firstLineChars="200" w:firstLine="420"/>
        <w:divId w:val="819083261"/>
      </w:pPr>
      <w:r>
        <w:rPr>
          <w:rFonts w:hint="eastAsia"/>
        </w:rPr>
        <w:t>抓住国际市场机遇，增强合同谈判的策略性、灵活性、协同性，加快推进在谈项目的进展，积极跟踪、储备一批新项目。完善价格管理体系，保持价格对市场变化的敏感性，提升报价的合理性、有效性。推动公司自有装备在新签生产线上应用比例的提升。深度开拓非洲、中东、亚洲、南美及东欧等热点或潜在需求区域市场，长期布局印度、俄罗斯等战略发展市场。</w:t>
      </w:r>
    </w:p>
    <w:p w:rsidR="006B68AE" w:rsidRDefault="006B68AE" w:rsidP="006B68AE">
      <w:pPr>
        <w:ind w:firstLineChars="200" w:firstLine="420"/>
        <w:divId w:val="819083261"/>
      </w:pPr>
      <w:r>
        <w:rPr>
          <w:rFonts w:hint="eastAsia"/>
        </w:rPr>
        <w:t>（</w:t>
      </w:r>
      <w:r>
        <w:rPr>
          <w:rFonts w:hint="eastAsia"/>
        </w:rPr>
        <w:t>2</w:t>
      </w:r>
      <w:r>
        <w:rPr>
          <w:rFonts w:hint="eastAsia"/>
        </w:rPr>
        <w:t>）加快内部资源融合，完成海外项目标准化运营格局的历程</w:t>
      </w:r>
    </w:p>
    <w:p w:rsidR="006B68AE" w:rsidRDefault="006B68AE" w:rsidP="006B68AE">
      <w:pPr>
        <w:ind w:firstLineChars="200" w:firstLine="420"/>
        <w:divId w:val="819083261"/>
      </w:pPr>
      <w:r>
        <w:rPr>
          <w:rFonts w:hint="eastAsia"/>
        </w:rPr>
        <w:t>各工程平台以新一批项目实施为主线，一体化统筹配置工程设计及工程项目管理资源，进一步推进内部融合，切实发挥整合效应。强化项目预算管理和经济责任考核，以激励、惩罚措施为保障推动优化设计比例提升、履约质量提升，系统控制成本费用和工期，向精细化管理要效益。</w:t>
      </w:r>
    </w:p>
    <w:p w:rsidR="006B68AE" w:rsidRDefault="006B68AE" w:rsidP="006B68AE">
      <w:pPr>
        <w:ind w:firstLineChars="200" w:firstLine="420"/>
        <w:divId w:val="819083261"/>
      </w:pPr>
      <w:r>
        <w:rPr>
          <w:rFonts w:hint="eastAsia"/>
        </w:rPr>
        <w:t>（</w:t>
      </w:r>
      <w:r>
        <w:rPr>
          <w:rFonts w:hint="eastAsia"/>
        </w:rPr>
        <w:t>3</w:t>
      </w:r>
      <w:r>
        <w:rPr>
          <w:rFonts w:hint="eastAsia"/>
        </w:rPr>
        <w:t>）强化内外部资源利用，加快新业务发展步伐</w:t>
      </w:r>
    </w:p>
    <w:p w:rsidR="006B68AE" w:rsidRDefault="006B68AE" w:rsidP="006B68AE">
      <w:pPr>
        <w:ind w:firstLineChars="200" w:firstLine="420"/>
        <w:divId w:val="819083261"/>
      </w:pPr>
      <w:r>
        <w:rPr>
          <w:rFonts w:hint="eastAsia"/>
        </w:rPr>
        <w:t>以获取技术、研发能力、品牌、渠道等为目的，通过并购、购买、合作等途径提高外部资源利用层次，以增量协同带动存量经营性资产利用效率的提升，加快推进装备业务在矿业、冶金、化工和电力行业用设备等方面专业化发展水平。依托水泥工程资源，强化组织、人员保障，积极获取外部信息，努力寻求外部合作，加快推进工程多元化业务发展。全面总结溧阳环保示范线，加大技术路线的宣传力度，积极利用政策支持，大力推广利用水泥窑协同处</w:t>
      </w:r>
      <w:r>
        <w:rPr>
          <w:rFonts w:hint="eastAsia"/>
        </w:rPr>
        <w:lastRenderedPageBreak/>
        <w:t>置城市生活垃圾、污泥等废弃物业务。提高效率，控制风险，深入推进</w:t>
      </w:r>
      <w:r>
        <w:rPr>
          <w:rFonts w:hint="eastAsia"/>
        </w:rPr>
        <w:t>SINOMA</w:t>
      </w:r>
      <w:r>
        <w:rPr>
          <w:rFonts w:hint="eastAsia"/>
        </w:rPr>
        <w:t>标准水泥生产线海外应用。</w:t>
      </w:r>
      <w:r>
        <w:rPr>
          <w:rFonts w:hint="eastAsia"/>
        </w:rPr>
        <w:t xml:space="preserve">  </w:t>
      </w:r>
    </w:p>
    <w:p w:rsidR="006B68AE" w:rsidRDefault="006B68AE" w:rsidP="006B68AE">
      <w:pPr>
        <w:ind w:firstLineChars="200" w:firstLine="420"/>
        <w:divId w:val="819083261"/>
      </w:pPr>
      <w:r>
        <w:rPr>
          <w:rFonts w:hint="eastAsia"/>
        </w:rPr>
        <w:t>（</w:t>
      </w:r>
      <w:r>
        <w:rPr>
          <w:rFonts w:hint="eastAsia"/>
        </w:rPr>
        <w:t>4</w:t>
      </w:r>
      <w:r>
        <w:rPr>
          <w:rFonts w:hint="eastAsia"/>
        </w:rPr>
        <w:t>）控制风险，强化研发，推动管理体系不断创新</w:t>
      </w:r>
    </w:p>
    <w:p w:rsidR="006B68AE" w:rsidRDefault="006B68AE" w:rsidP="006B68AE">
      <w:pPr>
        <w:ind w:firstLineChars="200" w:firstLine="420"/>
        <w:divId w:val="819083261"/>
      </w:pPr>
      <w:r>
        <w:rPr>
          <w:rFonts w:hint="eastAsia"/>
        </w:rPr>
        <w:t>结合内控审计，积极识别、防范管理风险，推动管理创新。积极处理东方贸易后续问题，努力维护公司权益。进一步突出研发活动的前瞻性，在节能环保领域和专业装备制造领域根据市场和产业发展需要筹划重大科研攻关项目，进一步提升公司发展的科技含量。</w:t>
      </w:r>
    </w:p>
    <w:p w:rsidR="006B68AE" w:rsidRDefault="006B68AE" w:rsidP="006B68AE">
      <w:pPr>
        <w:ind w:firstLineChars="200" w:firstLine="420"/>
        <w:divId w:val="819083261"/>
      </w:pPr>
      <w:r>
        <w:rPr>
          <w:rFonts w:hint="eastAsia"/>
        </w:rPr>
        <w:t>4</w:t>
      </w:r>
      <w:r>
        <w:rPr>
          <w:rFonts w:hint="eastAsia"/>
        </w:rPr>
        <w:t>、可能面对的风险</w:t>
      </w:r>
    </w:p>
    <w:p w:rsidR="006B68AE" w:rsidRDefault="006B68AE" w:rsidP="006B68AE">
      <w:pPr>
        <w:ind w:firstLineChars="200" w:firstLine="420"/>
        <w:divId w:val="819083261"/>
      </w:pPr>
      <w:r>
        <w:rPr>
          <w:rFonts w:hint="eastAsia"/>
        </w:rPr>
        <w:t>（</w:t>
      </w:r>
      <w:r>
        <w:rPr>
          <w:rFonts w:hint="eastAsia"/>
        </w:rPr>
        <w:t>1</w:t>
      </w:r>
      <w:r>
        <w:rPr>
          <w:rFonts w:hint="eastAsia"/>
        </w:rPr>
        <w:t>）行业及政策性风险：国内水泥行业出现阶段性产能过剩，</w:t>
      </w:r>
      <w:proofErr w:type="gramStart"/>
      <w:r>
        <w:rPr>
          <w:rFonts w:hint="eastAsia"/>
        </w:rPr>
        <w:t>2013</w:t>
      </w:r>
      <w:r>
        <w:rPr>
          <w:rFonts w:hint="eastAsia"/>
        </w:rPr>
        <w:t>年</w:t>
      </w:r>
      <w:r>
        <w:rPr>
          <w:rFonts w:hint="eastAsia"/>
        </w:rPr>
        <w:t>5</w:t>
      </w:r>
      <w:r>
        <w:rPr>
          <w:rFonts w:hint="eastAsia"/>
        </w:rPr>
        <w:t>月发改委</w:t>
      </w:r>
      <w:proofErr w:type="gramEnd"/>
      <w:r>
        <w:rPr>
          <w:rFonts w:hint="eastAsia"/>
        </w:rPr>
        <w:t>和工信部联合</w:t>
      </w:r>
      <w:r w:rsidR="00ED5F77">
        <w:rPr>
          <w:rFonts w:hint="eastAsia"/>
        </w:rPr>
        <w:t>下发了《关于坚决遏制产能严重过剩行业盲目扩张的通知》（发</w:t>
      </w:r>
      <w:proofErr w:type="gramStart"/>
      <w:r w:rsidR="00ED5F77">
        <w:rPr>
          <w:rFonts w:hint="eastAsia"/>
        </w:rPr>
        <w:t>改产业</w:t>
      </w:r>
      <w:proofErr w:type="gramEnd"/>
      <w:r w:rsidR="00ED5F77">
        <w:rPr>
          <w:rFonts w:ascii="宋体" w:hAnsi="宋体" w:hint="eastAsia"/>
        </w:rPr>
        <w:t>[</w:t>
      </w:r>
      <w:r>
        <w:rPr>
          <w:rFonts w:hint="eastAsia"/>
        </w:rPr>
        <w:t>2013</w:t>
      </w:r>
      <w:r w:rsidR="00ED5F77">
        <w:rPr>
          <w:rFonts w:ascii="宋体" w:hAnsi="宋体" w:hint="eastAsia"/>
        </w:rPr>
        <w:t>]</w:t>
      </w:r>
      <w:r>
        <w:rPr>
          <w:rFonts w:hint="eastAsia"/>
        </w:rPr>
        <w:t>892</w:t>
      </w:r>
      <w:r>
        <w:rPr>
          <w:rFonts w:hint="eastAsia"/>
        </w:rPr>
        <w:t>号），受其影响，预计国内新建水泥工程市场</w:t>
      </w:r>
      <w:r>
        <w:rPr>
          <w:rFonts w:hint="eastAsia"/>
        </w:rPr>
        <w:t>2013</w:t>
      </w:r>
      <w:r>
        <w:rPr>
          <w:rFonts w:hint="eastAsia"/>
        </w:rPr>
        <w:t>年下半年将会进一步下滑。针对此项风险，公司一方面强化了海外市场开拓力度，另一方面加强了生产线技术改造业务及备品、备件业务。</w:t>
      </w:r>
    </w:p>
    <w:p w:rsidR="006B68AE" w:rsidRDefault="006B68AE" w:rsidP="006B68AE">
      <w:pPr>
        <w:ind w:firstLineChars="200" w:firstLine="420"/>
        <w:divId w:val="819083261"/>
      </w:pPr>
      <w:r>
        <w:rPr>
          <w:rFonts w:hint="eastAsia"/>
        </w:rPr>
        <w:t>（</w:t>
      </w:r>
      <w:r>
        <w:rPr>
          <w:rFonts w:hint="eastAsia"/>
        </w:rPr>
        <w:t>2</w:t>
      </w:r>
      <w:r>
        <w:rPr>
          <w:rFonts w:hint="eastAsia"/>
        </w:rPr>
        <w:t>）经营风险：公司水泥工程主业的主要业务模式是</w:t>
      </w:r>
      <w:r>
        <w:rPr>
          <w:rFonts w:hint="eastAsia"/>
        </w:rPr>
        <w:t>EPC</w:t>
      </w:r>
      <w:r>
        <w:rPr>
          <w:rFonts w:hint="eastAsia"/>
        </w:rPr>
        <w:t>总承包和装备制造业务，</w:t>
      </w:r>
      <w:r>
        <w:rPr>
          <w:rFonts w:hint="eastAsia"/>
        </w:rPr>
        <w:t>EPC</w:t>
      </w:r>
      <w:r>
        <w:rPr>
          <w:rFonts w:hint="eastAsia"/>
        </w:rPr>
        <w:t>项目工期较长，对工期和成本的影响因素众多，项目运营存在一定风险。公司将进一步强化</w:t>
      </w:r>
      <w:r>
        <w:rPr>
          <w:rFonts w:hint="eastAsia"/>
        </w:rPr>
        <w:t>EPC</w:t>
      </w:r>
      <w:r>
        <w:rPr>
          <w:rFonts w:hint="eastAsia"/>
        </w:rPr>
        <w:t>项目业务流程的系统管理及各环节的管理，优化资源配置，努力控制风险。此外，公司水泥工程项目涉及国家较多，像中东北非等区域国家的政局动乱可能会对公司工程项目实施带来一些不确定的干扰，甚至会存在一定的风险，但由于公司海外工程项目一般是在收到业主预付款后启动，且日常结算比较及时，目前此项风险较为可控。</w:t>
      </w:r>
    </w:p>
    <w:p w:rsidR="006B68AE" w:rsidRDefault="006B68AE" w:rsidP="006B68AE">
      <w:pPr>
        <w:ind w:firstLineChars="200" w:firstLine="420"/>
        <w:divId w:val="819083261"/>
      </w:pPr>
      <w:r>
        <w:rPr>
          <w:rFonts w:hint="eastAsia"/>
        </w:rPr>
        <w:t>公司</w:t>
      </w:r>
      <w:proofErr w:type="gramStart"/>
      <w:r>
        <w:rPr>
          <w:rFonts w:hint="eastAsia"/>
        </w:rPr>
        <w:t>钢贸业务</w:t>
      </w:r>
      <w:proofErr w:type="gramEnd"/>
      <w:r>
        <w:rPr>
          <w:rFonts w:hint="eastAsia"/>
        </w:rPr>
        <w:t>已经终止，公司将通过</w:t>
      </w:r>
      <w:r>
        <w:rPr>
          <w:rFonts w:hint="eastAsia"/>
        </w:rPr>
        <w:t xml:space="preserve"> </w:t>
      </w:r>
      <w:r>
        <w:rPr>
          <w:rFonts w:hint="eastAsia"/>
        </w:rPr>
        <w:t>一切合法手段尽力追偿债务，尽可能降低损失。</w:t>
      </w:r>
    </w:p>
    <w:p w:rsidR="006B68AE" w:rsidRDefault="006B68AE" w:rsidP="006B68AE">
      <w:pPr>
        <w:ind w:firstLineChars="200" w:firstLine="420"/>
        <w:divId w:val="819083261"/>
      </w:pPr>
      <w:r>
        <w:rPr>
          <w:rFonts w:hint="eastAsia"/>
        </w:rPr>
        <w:t>（</w:t>
      </w:r>
      <w:r>
        <w:rPr>
          <w:rFonts w:hint="eastAsia"/>
        </w:rPr>
        <w:t>3</w:t>
      </w:r>
      <w:r>
        <w:rPr>
          <w:rFonts w:hint="eastAsia"/>
        </w:rPr>
        <w:t>）汇率风险：公司</w:t>
      </w:r>
      <w:proofErr w:type="gramStart"/>
      <w:r>
        <w:rPr>
          <w:rFonts w:hint="eastAsia"/>
        </w:rPr>
        <w:t>海外合同</w:t>
      </w:r>
      <w:proofErr w:type="gramEnd"/>
      <w:r>
        <w:rPr>
          <w:rFonts w:hint="eastAsia"/>
        </w:rPr>
        <w:t>基本是以美元或欧元签订的（其中美元为主），若汇率波动较大将带来较大经营风险。经过前期人民币大幅升值，以及美国经济的复苏，预计下半年人民币对美元大幅升值的可能较小。针对汇率风险，公司一方面在合同报价中充分考虑此项因素，另一方面通过外汇套期保值、应收账款</w:t>
      </w:r>
      <w:proofErr w:type="gramStart"/>
      <w:r>
        <w:rPr>
          <w:rFonts w:hint="eastAsia"/>
        </w:rPr>
        <w:t>保理及时</w:t>
      </w:r>
      <w:proofErr w:type="gramEnd"/>
      <w:r>
        <w:rPr>
          <w:rFonts w:hint="eastAsia"/>
        </w:rPr>
        <w:t>结售汇等管理措施，有效控制汇率影响。</w:t>
      </w:r>
    </w:p>
    <w:p w:rsidR="006B68AE" w:rsidRDefault="006B68AE">
      <w:pPr>
        <w:outlineLvl w:val="1"/>
        <w:divId w:val="819083261"/>
        <w:rPr>
          <w:rFonts w:cs="宋体"/>
          <w:b/>
          <w:bCs/>
          <w:kern w:val="36"/>
        </w:rPr>
      </w:pPr>
    </w:p>
    <w:p w:rsidR="00CA132C" w:rsidRPr="006B68AE" w:rsidRDefault="00CA132C" w:rsidP="006B68AE">
      <w:pPr>
        <w:outlineLvl w:val="1"/>
        <w:divId w:val="819083261"/>
        <w:rPr>
          <w:b/>
          <w:bCs/>
          <w:kern w:val="36"/>
          <w:szCs w:val="18"/>
        </w:rPr>
      </w:pPr>
      <w:r>
        <w:rPr>
          <w:rFonts w:cs="宋体" w:hint="eastAsia"/>
          <w:b/>
          <w:bCs/>
          <w:kern w:val="36"/>
        </w:rPr>
        <w:t>四、</w:t>
      </w:r>
      <w:r>
        <w:rPr>
          <w:rFonts w:cs="宋体" w:hint="eastAsia"/>
          <w:b/>
          <w:bCs/>
          <w:kern w:val="36"/>
        </w:rPr>
        <w:t xml:space="preserve"> </w:t>
      </w:r>
      <w:r>
        <w:rPr>
          <w:rFonts w:hint="eastAsia"/>
          <w:b/>
          <w:bCs/>
          <w:kern w:val="36"/>
        </w:rPr>
        <w:t xml:space="preserve"> </w:t>
      </w:r>
      <w:r>
        <w:rPr>
          <w:rFonts w:hint="eastAsia"/>
          <w:b/>
          <w:bCs/>
          <w:kern w:val="36"/>
        </w:rPr>
        <w:t>涉及财务报告的相关事项</w:t>
      </w:r>
    </w:p>
    <w:p w:rsidR="00CA132C" w:rsidRDefault="00CA132C">
      <w:pPr>
        <w:outlineLvl w:val="2"/>
        <w:divId w:val="819083261"/>
        <w:rPr>
          <w:b/>
          <w:bCs/>
          <w:szCs w:val="18"/>
        </w:rPr>
      </w:pPr>
      <w:r>
        <w:rPr>
          <w:rFonts w:cs="宋体" w:hint="eastAsia"/>
          <w:b/>
          <w:bCs/>
        </w:rPr>
        <w:t xml:space="preserve">4.1 </w:t>
      </w:r>
      <w:r>
        <w:rPr>
          <w:rFonts w:hint="eastAsia"/>
          <w:b/>
          <w:bCs/>
        </w:rPr>
        <w:t xml:space="preserve"> </w:t>
      </w:r>
      <w:r>
        <w:rPr>
          <w:rFonts w:hint="eastAsia"/>
          <w:b/>
          <w:bCs/>
        </w:rPr>
        <w:t>与上年度财务报告相比，对财务报表合并范围变化的说明。</w:t>
      </w:r>
    </w:p>
    <w:p w:rsidR="00CA132C" w:rsidRDefault="00CA132C" w:rsidP="00804339">
      <w:pPr>
        <w:ind w:firstLineChars="200" w:firstLine="420"/>
        <w:divId w:val="819083261"/>
      </w:pPr>
      <w:r>
        <w:rPr>
          <w:rFonts w:hint="eastAsia"/>
        </w:rPr>
        <w:t>本期新纳入合并报表范围的子公司有：能源和基建有限公司、中</w:t>
      </w:r>
      <w:proofErr w:type="gramStart"/>
      <w:r>
        <w:rPr>
          <w:rFonts w:hint="eastAsia"/>
        </w:rPr>
        <w:t>材国际</w:t>
      </w:r>
      <w:proofErr w:type="gramEnd"/>
      <w:r>
        <w:rPr>
          <w:rFonts w:hint="eastAsia"/>
        </w:rPr>
        <w:t>工程股份（香港）有限公司、南京中材检测技术有限公司、成都水泥工业设计研究院有限公司、成都维邦工程有限公司、天津中材资产管理有限公司、</w:t>
      </w:r>
      <w:proofErr w:type="gramStart"/>
      <w:r>
        <w:rPr>
          <w:rFonts w:hint="eastAsia"/>
        </w:rPr>
        <w:t>天津百舜物业管理</w:t>
      </w:r>
      <w:proofErr w:type="gramEnd"/>
      <w:r>
        <w:rPr>
          <w:rFonts w:hint="eastAsia"/>
        </w:rPr>
        <w:t>有限责任公司、天津市申嘉科技发展有限公司、印度</w:t>
      </w:r>
      <w:r>
        <w:rPr>
          <w:rFonts w:hint="eastAsia"/>
        </w:rPr>
        <w:t>LNVT</w:t>
      </w:r>
      <w:r>
        <w:rPr>
          <w:rFonts w:hint="eastAsia"/>
        </w:rPr>
        <w:t>科技私人有限公司。本公司三级子公司天津中材资产管理有限公司对天津水泥工业设计研究院技术服务部持股比例</w:t>
      </w:r>
      <w:r>
        <w:rPr>
          <w:rFonts w:hint="eastAsia"/>
        </w:rPr>
        <w:t>100%</w:t>
      </w:r>
      <w:r>
        <w:rPr>
          <w:rFonts w:hint="eastAsia"/>
        </w:rPr>
        <w:t>、对天津市新津源实业开发有限公司持股比例</w:t>
      </w:r>
      <w:r>
        <w:rPr>
          <w:rFonts w:hint="eastAsia"/>
        </w:rPr>
        <w:t>93.75%</w:t>
      </w:r>
      <w:r>
        <w:rPr>
          <w:rFonts w:hint="eastAsia"/>
        </w:rPr>
        <w:t>、本公司二级子公司邯郸中</w:t>
      </w:r>
      <w:proofErr w:type="gramStart"/>
      <w:r>
        <w:rPr>
          <w:rFonts w:hint="eastAsia"/>
        </w:rPr>
        <w:t>材资产</w:t>
      </w:r>
      <w:proofErr w:type="gramEnd"/>
      <w:r>
        <w:rPr>
          <w:rFonts w:hint="eastAsia"/>
        </w:rPr>
        <w:t>管理有限公司对津</w:t>
      </w:r>
      <w:proofErr w:type="gramStart"/>
      <w:r>
        <w:rPr>
          <w:rFonts w:hint="eastAsia"/>
        </w:rPr>
        <w:t>邯</w:t>
      </w:r>
      <w:proofErr w:type="gramEnd"/>
      <w:r>
        <w:rPr>
          <w:rFonts w:hint="eastAsia"/>
        </w:rPr>
        <w:t>窑尾预热器工程公司持股比例</w:t>
      </w:r>
      <w:r>
        <w:rPr>
          <w:rFonts w:hint="eastAsia"/>
        </w:rPr>
        <w:t>50%</w:t>
      </w:r>
      <w:r>
        <w:rPr>
          <w:rFonts w:hint="eastAsia"/>
        </w:rPr>
        <w:t>，上述三家单位被投资单位因停业未纳入合并报表。</w:t>
      </w:r>
    </w:p>
    <w:p w:rsidR="002D1949" w:rsidRDefault="002D1949" w:rsidP="00804339">
      <w:pPr>
        <w:ind w:firstLineChars="200" w:firstLine="420"/>
        <w:divId w:val="819083261"/>
      </w:pPr>
    </w:p>
    <w:p w:rsidR="002D1949" w:rsidRDefault="002D1949" w:rsidP="002D1949">
      <w:pPr>
        <w:spacing w:line="360" w:lineRule="atLeast"/>
        <w:jc w:val="right"/>
        <w:divId w:val="819083261"/>
      </w:pPr>
      <w:r>
        <w:rPr>
          <w:rFonts w:hint="eastAsia"/>
        </w:rPr>
        <w:t>董事长：王伟</w:t>
      </w:r>
    </w:p>
    <w:p w:rsidR="002D1949" w:rsidRDefault="002D1949" w:rsidP="002D1949">
      <w:pPr>
        <w:spacing w:line="360" w:lineRule="atLeast"/>
        <w:jc w:val="right"/>
        <w:divId w:val="819083261"/>
      </w:pPr>
      <w:r>
        <w:rPr>
          <w:rFonts w:hint="eastAsia"/>
        </w:rPr>
        <w:t>中国中</w:t>
      </w:r>
      <w:proofErr w:type="gramStart"/>
      <w:r>
        <w:rPr>
          <w:rFonts w:hint="eastAsia"/>
        </w:rPr>
        <w:t>材国际</w:t>
      </w:r>
      <w:proofErr w:type="gramEnd"/>
      <w:r>
        <w:rPr>
          <w:rFonts w:hint="eastAsia"/>
        </w:rPr>
        <w:t>工程股份有限公司</w:t>
      </w:r>
    </w:p>
    <w:p w:rsidR="002D1949" w:rsidRDefault="002D1949" w:rsidP="002D1949">
      <w:pPr>
        <w:spacing w:line="360" w:lineRule="atLeast"/>
        <w:jc w:val="right"/>
        <w:divId w:val="819083261"/>
      </w:pPr>
      <w:r>
        <w:rPr>
          <w:rFonts w:hint="eastAsia"/>
        </w:rPr>
        <w:t>2013</w:t>
      </w:r>
      <w:r>
        <w:rPr>
          <w:rFonts w:hint="eastAsia"/>
        </w:rPr>
        <w:t>年</w:t>
      </w:r>
      <w:r>
        <w:rPr>
          <w:rFonts w:hint="eastAsia"/>
        </w:rPr>
        <w:t>8</w:t>
      </w:r>
      <w:r>
        <w:rPr>
          <w:rFonts w:hint="eastAsia"/>
        </w:rPr>
        <w:t>月</w:t>
      </w:r>
      <w:r>
        <w:rPr>
          <w:rFonts w:hint="eastAsia"/>
        </w:rPr>
        <w:t>13</w:t>
      </w:r>
      <w:r>
        <w:rPr>
          <w:rFonts w:hint="eastAsia"/>
        </w:rPr>
        <w:t>日</w:t>
      </w:r>
    </w:p>
    <w:p w:rsidR="00CA132C" w:rsidRDefault="00CA132C">
      <w:pPr>
        <w:widowControl/>
        <w:spacing w:after="240"/>
        <w:divId w:val="819083261"/>
        <w:rPr>
          <w:rFonts w:hAnsi="宋体" w:cs="宋体"/>
          <w:szCs w:val="21"/>
        </w:rPr>
      </w:pPr>
    </w:p>
    <w:p w:rsidR="00D56DF8" w:rsidRPr="002D61A9" w:rsidRDefault="00D56DF8" w:rsidP="002D61A9">
      <w:pPr>
        <w:jc w:val="center"/>
        <w:rPr>
          <w:rFonts w:ascii="黑体" w:eastAsia="黑体"/>
          <w:b/>
          <w:sz w:val="32"/>
          <w:szCs w:val="32"/>
        </w:rPr>
      </w:pPr>
    </w:p>
    <w:sectPr w:rsidR="00D56DF8" w:rsidRPr="002D61A9" w:rsidSect="00862765">
      <w:headerReference w:type="default" r:id="rId6"/>
      <w:footerReference w:type="even"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55C" w:rsidRDefault="00B3155C">
      <w:r>
        <w:separator/>
      </w:r>
    </w:p>
  </w:endnote>
  <w:endnote w:type="continuationSeparator" w:id="0">
    <w:p w:rsidR="00B3155C" w:rsidRDefault="00B315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06" w:rsidRDefault="00A311B8" w:rsidP="00D66F63">
    <w:pPr>
      <w:pStyle w:val="a5"/>
      <w:framePr w:wrap="around" w:vAnchor="text" w:hAnchor="margin" w:xAlign="center" w:y="1"/>
      <w:rPr>
        <w:rStyle w:val="a6"/>
      </w:rPr>
    </w:pPr>
    <w:r>
      <w:rPr>
        <w:rStyle w:val="a6"/>
      </w:rPr>
      <w:fldChar w:fldCharType="begin"/>
    </w:r>
    <w:r w:rsidR="00880D06">
      <w:rPr>
        <w:rStyle w:val="a6"/>
      </w:rPr>
      <w:instrText xml:space="preserve">PAGE  </w:instrText>
    </w:r>
    <w:r>
      <w:rPr>
        <w:rStyle w:val="a6"/>
      </w:rPr>
      <w:fldChar w:fldCharType="end"/>
    </w:r>
  </w:p>
  <w:p w:rsidR="00880D06" w:rsidRDefault="00880D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D06" w:rsidRDefault="00A311B8" w:rsidP="00D66F63">
    <w:pPr>
      <w:pStyle w:val="a5"/>
      <w:framePr w:wrap="around" w:vAnchor="text" w:hAnchor="margin" w:xAlign="center" w:y="1"/>
      <w:rPr>
        <w:rStyle w:val="a6"/>
      </w:rPr>
    </w:pPr>
    <w:r>
      <w:rPr>
        <w:rStyle w:val="a6"/>
      </w:rPr>
      <w:fldChar w:fldCharType="begin"/>
    </w:r>
    <w:r w:rsidR="00880D06">
      <w:rPr>
        <w:rStyle w:val="a6"/>
      </w:rPr>
      <w:instrText xml:space="preserve">PAGE  </w:instrText>
    </w:r>
    <w:r>
      <w:rPr>
        <w:rStyle w:val="a6"/>
      </w:rPr>
      <w:fldChar w:fldCharType="separate"/>
    </w:r>
    <w:r w:rsidR="00ED5F77">
      <w:rPr>
        <w:rStyle w:val="a6"/>
        <w:noProof/>
      </w:rPr>
      <w:t>5</w:t>
    </w:r>
    <w:r>
      <w:rPr>
        <w:rStyle w:val="a6"/>
      </w:rPr>
      <w:fldChar w:fldCharType="end"/>
    </w:r>
  </w:p>
  <w:p w:rsidR="00880D06" w:rsidRDefault="00880D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55C" w:rsidRDefault="00B3155C">
      <w:r>
        <w:separator/>
      </w:r>
    </w:p>
  </w:footnote>
  <w:footnote w:type="continuationSeparator" w:id="0">
    <w:p w:rsidR="00B3155C" w:rsidRDefault="00B315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44A" w:rsidRDefault="00CA132C" w:rsidP="00CA132C">
    <w:pPr>
      <w:pStyle w:val="a4"/>
    </w:pPr>
    <w:r>
      <w:rPr>
        <w:rFonts w:hint="eastAsia"/>
      </w:rPr>
      <w:t>中国中</w:t>
    </w:r>
    <w:proofErr w:type="gramStart"/>
    <w:r>
      <w:rPr>
        <w:rFonts w:hint="eastAsia"/>
      </w:rPr>
      <w:t>材国际</w:t>
    </w:r>
    <w:proofErr w:type="gramEnd"/>
    <w:r>
      <w:rPr>
        <w:rFonts w:hint="eastAsia"/>
      </w:rPr>
      <w:t>工程股份有限公司</w:t>
    </w:r>
    <w:r>
      <w:rPr>
        <w:rFonts w:hint="eastAsia"/>
      </w:rPr>
      <w:t xml:space="preserve"> 2013</w:t>
    </w:r>
    <w:r>
      <w:rPr>
        <w:rFonts w:hint="eastAsia"/>
      </w:rPr>
      <w:t>年半年度报告摘要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61A9"/>
    <w:rsid w:val="000749AC"/>
    <w:rsid w:val="001667B6"/>
    <w:rsid w:val="002B6805"/>
    <w:rsid w:val="002D1949"/>
    <w:rsid w:val="002D61A9"/>
    <w:rsid w:val="003F1016"/>
    <w:rsid w:val="006B68AE"/>
    <w:rsid w:val="006C0746"/>
    <w:rsid w:val="00804339"/>
    <w:rsid w:val="00862765"/>
    <w:rsid w:val="00880D06"/>
    <w:rsid w:val="00A311B8"/>
    <w:rsid w:val="00AA3278"/>
    <w:rsid w:val="00B3155C"/>
    <w:rsid w:val="00CA132C"/>
    <w:rsid w:val="00D32D88"/>
    <w:rsid w:val="00D56DF8"/>
    <w:rsid w:val="00D66F63"/>
    <w:rsid w:val="00E148D9"/>
    <w:rsid w:val="00EC244A"/>
    <w:rsid w:val="00ED5F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7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A3278"/>
    <w:pPr>
      <w:shd w:val="clear" w:color="auto" w:fill="000080"/>
    </w:pPr>
  </w:style>
  <w:style w:type="paragraph" w:styleId="a4">
    <w:name w:val="header"/>
    <w:basedOn w:val="a"/>
    <w:rsid w:val="00AA3278"/>
    <w:pPr>
      <w:pBdr>
        <w:bottom w:val="single" w:sz="6" w:space="1" w:color="auto"/>
      </w:pBdr>
      <w:tabs>
        <w:tab w:val="center" w:pos="4153"/>
        <w:tab w:val="right" w:pos="8306"/>
      </w:tabs>
      <w:snapToGrid w:val="0"/>
      <w:jc w:val="center"/>
    </w:pPr>
    <w:rPr>
      <w:sz w:val="18"/>
      <w:szCs w:val="18"/>
    </w:rPr>
  </w:style>
  <w:style w:type="paragraph" w:styleId="a5">
    <w:name w:val="footer"/>
    <w:basedOn w:val="a"/>
    <w:rsid w:val="00AA3278"/>
    <w:pPr>
      <w:tabs>
        <w:tab w:val="center" w:pos="4153"/>
        <w:tab w:val="right" w:pos="8306"/>
      </w:tabs>
      <w:snapToGrid w:val="0"/>
      <w:jc w:val="left"/>
    </w:pPr>
    <w:rPr>
      <w:sz w:val="18"/>
      <w:szCs w:val="18"/>
    </w:rPr>
  </w:style>
  <w:style w:type="character" w:styleId="a6">
    <w:name w:val="page number"/>
    <w:basedOn w:val="a0"/>
    <w:rsid w:val="00880D06"/>
  </w:style>
</w:styles>
</file>

<file path=word/webSettings.xml><?xml version="1.0" encoding="utf-8"?>
<w:webSettings xmlns:r="http://schemas.openxmlformats.org/officeDocument/2006/relationships" xmlns:w="http://schemas.openxmlformats.org/wordprocessingml/2006/main">
  <w:divs>
    <w:div w:id="8190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862</Words>
  <Characters>4915</Characters>
  <Application>Microsoft Office Word</Application>
  <DocSecurity>0</DocSecurity>
  <Lines>40</Lines>
  <Paragraphs>11</Paragraphs>
  <ScaleCrop>false</ScaleCrop>
  <Company>微软中国</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#COMP_NAME_CN#</dc:title>
  <dc:subject/>
  <dc:creator>Administrator</dc:creator>
  <cp:keywords/>
  <dc:description/>
  <cp:lastModifiedBy>吕英花</cp:lastModifiedBy>
  <cp:revision>6</cp:revision>
  <dcterms:created xsi:type="dcterms:W3CDTF">2013-08-06T07:42:00Z</dcterms:created>
  <dcterms:modified xsi:type="dcterms:W3CDTF">2013-08-12T08:00:00Z</dcterms:modified>
</cp:coreProperties>
</file>